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תקנות 24 ו-25(ב) לתקנות סדר הדין האזרחי, התשע"ט-2018 מחייבות לכלול בכתב תביעה אחד את כל העילות והסעדים בשל אותה מסכת עובדתית, זולת אם ניתנה רשות לפיצול. רשות כזו לא נטענה ולא הוצגה, ודין התביעה להימחק.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ההחלטה על איחוד הדיון בין ההליכים אין בה משום רשות לפיצול בדיעבד.</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ההתראות הנטענות בסעיף 2 לכתב התביעה לא צורפו, בניגוד לתקנה 79(א)(2).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הנתבעת גדלה בדירה והתגוררה בה מילדותה, לרבות ביום 1.8.2009 וברציפות עד לשנת 2019. באותה שנה שכרה דירה בסמוך, על רקע מתח שנתגלע בינה לבין אביה.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שבה אל הדירה כדי לסעוד את אביה עד לפטירתו, ומאז היא מתגוררת בה. הדירה היא ביתה היחיד.</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שאלה נסיבות כניסתה אינה "פולשת", ולכל היותר עסקינן בבת-רשות.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תטען הנתבעת כי היא "דייר ממשיך" כהגדרתו בסעיף 1 לחוק זכויות הדייר בדיור הציבורי, התשנ"ח-1998.</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ולעניין הוראת המעבר, התנאי שהתובעת עצמה הציבה בראש טבלת ביקורי המעגל שבנספח 4 הוא "ביקורי מעגל לדייר הממשיך מתאריך 1.8.09 ועד מועד הבקשה ולא פחות מ-4 שנות מגורים רצופות". הנתבעת התגוררה בדירה מיום 1.8.2009 וברציפות כעשר שנים.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מכל מקום, שאלת מגוריה של הנתבעת לא נבדקה מעולם, ומקומה להתברר בראיות.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התובעת אף הוסיפה לגבות תשלומים בפועל, ולא מסרה הודעה בכתב על סיום השכירות כנדרש בסעיף 2 לחוזה.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w:t>
      </w:r>
      <w:r>
        <w:rPr>
          <w:rFonts w:ascii="David" w:cs="David" w:eastAsia="David" w:hAnsi="David"/>
          <w:b w:val="false"/>
          <w:bCs w:val="false"/>
          <w:i w:val="false"/>
          <w:iCs w:val="false"/>
          <w:sz w:val="24"/>
          <w:szCs w:val="24"/>
          <w:rtl/>
        </w:rPr>
        <w:t xml:space="preserve"> היא ניתנה ללא הנמקה, ללא שימוע וללא המצאה, על יסוד תשתית הסותרת את עצמה ומבלי שנבחנה זכאותה העצמאית של הנתבעת. הנתבעת תוקפת אותה בתקיפה עקיפה.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18.</w:t>
      </w:r>
      <w:r>
        <w:rPr>
          <w:rFonts w:ascii="David" w:cs="David" w:eastAsia="David" w:hAnsi="David"/>
          <w:sz w:val="24"/>
          <w:szCs w:val="24"/>
          <w:rtl/>
        </w:rPr>
        <w:tab/>
      </w:r>
      <w:r>
        <w:rPr>
          <w:rFonts w:ascii="David" w:cs="David" w:eastAsia="David" w:hAnsi="David"/>
          <w:b/>
          <w:bCs/>
          <w:i w:val="false"/>
          <w:iCs w:val="false"/>
          <w:sz w:val="24"/>
          <w:szCs w:val="24"/>
          <w:rtl/>
        </w:rPr>
        <w:t xml:space="preserve">הסכום לא הוכח.</w:t>
      </w:r>
      <w:r>
        <w:rPr>
          <w:rFonts w:ascii="David" w:cs="David" w:eastAsia="David" w:hAnsi="David"/>
          <w:b w:val="false"/>
          <w:bCs w:val="false"/>
          <w:i w:val="false"/>
          <w:iCs w:val="false"/>
          <w:sz w:val="24"/>
          <w:szCs w:val="24"/>
          <w:rtl/>
        </w:rPr>
        <w:t xml:space="preserve"> לא הוצגה חוות דעת, והחיוב החודשי שגזרה התובעת לעצמה גבוה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19.</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ולנוכח היות הנתבעת נכה בשיעור 100% שאינה עובדת, מוכרת ברווחה וסמוכה על קצבת המוסד לביטוח לאומי,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21.</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ומועד האכלוס הרשום בכל טופסי התובעת הוא 8.8.1996.</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המנוח, יליד 1943, עלה לישראל מאתיופיה בשנת 1991 ונפטר ביום 16.2.2024.</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תעודת הפטירה, שהתובעת עצמה צירפה כנספח 3, נשלחה ביום 10.3.2024 מלשכת רשות האוכלוסין בפתח תקווה אל הנתבעת, בכתובת הדירה.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24.</w:t>
      </w:r>
      <w:r>
        <w:rPr>
          <w:rFonts w:ascii="David" w:cs="David" w:eastAsia="David" w:hAnsi="David"/>
          <w:sz w:val="24"/>
          <w:szCs w:val="24"/>
          <w:rtl/>
        </w:rPr>
        <w:tab/>
      </w:r>
      <w:r>
        <w:rPr>
          <w:rFonts w:ascii="David" w:cs="David" w:eastAsia="David" w:hAnsi="David"/>
          <w:b/>
          <w:bCs/>
          <w:i w:val="false"/>
          <w:iCs w:val="false"/>
          <w:sz w:val="24"/>
          <w:szCs w:val="24"/>
          <w:rtl/>
        </w:rPr>
        <w:t xml:space="preserve">נסיבות מגוריה של הנתבעת.</w:t>
      </w:r>
      <w:r>
        <w:rPr>
          <w:rFonts w:ascii="David" w:cs="David" w:eastAsia="David" w:hAnsi="David"/>
          <w:b w:val="false"/>
          <w:bCs w:val="false"/>
          <w:i w:val="false"/>
          <w:iCs w:val="false"/>
          <w:sz w:val="24"/>
          <w:szCs w:val="24"/>
          <w:rtl/>
        </w:rPr>
        <w:t xml:space="preserve"> היא גדלה בדירה והתגוררה בה מילדותה, לרבות ביום 1.8.2009 וברציפות עד לשנת 2019.</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באותה שנה, על רקע מתח וקושי שנתגלעו בינה לבין אביה, שכרה דירה בסמוך כדי שיהיה בידה מקום לינה נפרד.</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היא לא נטשה את אביה ולא חדלה מלבקרו: הגיעה אליו בתדירות גבוהה, הכינה עבורו אוכל ודאגה לצרכיו.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בסמוך לחודש דצמבר 2023, כשבעה חודשים בטרם פקע חוזה השכירות שלה, עזבה את הדירה השכורה ועברה לשהות לצד אביה ולסעוד אותו עד לפטירתו.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מאז היא מתגוררת בדירה ברציפות. הדירה היא ביתה היחיד; אין לה דירה בבעלותה ומעולם לא היתה לה.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ודוק, בטבלת ביקורי המעגל שבנספח 4 נרשם "לא" ביחס לדייר ממשיך בכל אחת מן השנים 2010 עד 2019, עשור שלם שבו התגוררה הנתבעת בדירה, ובלא שנשאלה, זומנה או נשמעה ולו פעם אחת.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30.</w:t>
      </w:r>
      <w:r>
        <w:rPr>
          <w:rFonts w:ascii="David" w:cs="David" w:eastAsia="David" w:hAnsi="David"/>
          <w:sz w:val="24"/>
          <w:szCs w:val="24"/>
          <w:rtl/>
        </w:rPr>
        <w:tab/>
      </w:r>
      <w:r>
        <w:rPr>
          <w:rFonts w:ascii="David" w:cs="David" w:eastAsia="David" w:hAnsi="David"/>
          <w:b/>
          <w:bCs/>
          <w:i w:val="false"/>
          <w:iCs w:val="false"/>
          <w:sz w:val="24"/>
          <w:szCs w:val="24"/>
          <w:rtl/>
        </w:rPr>
        <w:t xml:space="preserve">הביקור מיום 3.7.2024.</w:t>
      </w:r>
      <w:r>
        <w:rPr>
          <w:rFonts w:ascii="David" w:cs="David" w:eastAsia="David" w:hAnsi="David"/>
          <w:b w:val="false"/>
          <w:bCs w:val="false"/>
          <w:i w:val="false"/>
          <w:iCs w:val="false"/>
          <w:sz w:val="24"/>
          <w:szCs w:val="24"/>
          <w:rtl/>
        </w:rPr>
        <w:t xml:space="preserve">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"עדן" הוא שמה העברי של הנתבעת, והביקור נערך עמה בדירה. בהתאם לכך אף סומן בטבלה שבנספח 4, בשורת אותו ביקור, כי דייר ממשיך מתגורר בדירה.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33.</w:t>
      </w:r>
      <w:r>
        <w:rPr>
          <w:rFonts w:ascii="David" w:cs="David" w:eastAsia="David" w:hAnsi="David"/>
          <w:sz w:val="24"/>
          <w:szCs w:val="24"/>
          <w:rtl/>
        </w:rPr>
        <w:tab/>
      </w:r>
      <w:r>
        <w:rPr>
          <w:rFonts w:ascii="David" w:cs="David" w:eastAsia="David" w:hAnsi="David"/>
          <w:b/>
          <w:bCs/>
          <w:i w:val="false"/>
          <w:iCs w:val="false"/>
          <w:sz w:val="24"/>
          <w:szCs w:val="24"/>
          <w:rtl/>
        </w:rPr>
        <w:t xml:space="preserve">הכספים.</w:t>
      </w:r>
      <w:r>
        <w:rPr>
          <w:rFonts w:ascii="David" w:cs="David" w:eastAsia="David" w:hAnsi="David"/>
          <w:b w:val="false"/>
          <w:bCs w:val="false"/>
          <w:i w:val="false"/>
          <w:iCs w:val="false"/>
          <w:sz w:val="24"/>
          <w:szCs w:val="24"/>
          <w:rtl/>
        </w:rPr>
        <w:t xml:space="preserve"> ביום 23.7.2024, כחמישה חודשים לאחר הפטירה,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הסכום שולם (נספח 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ואולם ביום 17.9.2024, לאחר החלטת הוועדה, הוציאה התובעת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חויבה הדירה פעמיים (נספח ב').</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27.3.2025 שילמה הנתבעת 2,911.01 ₪ נוספים על פי שובר שהתובעת שלחה אליה (נספח ג').</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37.</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נותר ריק.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הפרק "החלטת הוועדה המחוזית" נושא שתי שורות בכתב יד שאינן קריאות בעותק שהומצא, ואין בהן דיון בתנאי החוק. חובת ההנמקה קבועה בסעיף 2 לחוק לתיקון סדרי המינהל (החלטות והנמקות), התשי"ט-1958.</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השדה "מצ"ב החלטת ועדה מיום ___" ריק, והמסמך שאליו הוא מפנה לא הוצג.</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הרובריקה שיועדה לסגן מנהל מרכז השירות, שבה אמורים היו להירשם אישורי משרד הבינוי והשיכון והממצאים, נותרה ריקה בכל שורותיה, בלא שם ובלא חתימה.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בכלל אותן שורות ריקות השדות "חסר דירה" ו"מומש סיוע בשכ"ד", שבהם נבחנת זכאותה העצמאית של הנתבעת לדירה ציבורית לפי הכללים - היא החלופה שבסעיף 3(ב) לחוק, אשר בהתקיימה רואים את הדייר הממשיך כמי שבא בנעלי הזכאי לכל דבר ועניין.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משכך, הקביעה שבסעיף 19 לכתב התביעה, ולפיה לא עמדה הנתבעת בתבחינים, אינה קביעה אלא הנחה.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43.</w:t>
      </w:r>
      <w:r>
        <w:rPr>
          <w:rFonts w:ascii="David" w:cs="David" w:eastAsia="David" w:hAnsi="David"/>
          <w:sz w:val="24"/>
          <w:szCs w:val="24"/>
          <w:rtl/>
        </w:rPr>
        <w:tab/>
      </w:r>
      <w:r>
        <w:rPr>
          <w:rFonts w:ascii="David" w:cs="David" w:eastAsia="David" w:hAnsi="David"/>
          <w:b/>
          <w:bCs/>
          <w:i w:val="false"/>
          <w:iCs w:val="false"/>
          <w:sz w:val="24"/>
          <w:szCs w:val="24"/>
          <w:rtl/>
        </w:rPr>
        <w:t xml:space="preserve">התשתית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ביחס לביקור מיום 3.7.2024 נרשם בטבלה כי הדייר החוזי "גר: כן", ארבעה חודשים וחצי לאחר פטירתו.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ולגבי הביקור מיום 18.12.2023, האחרון בחיי המנוח, נרשם אצל הדייר הממשיך "לא"; ואילו 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[כך במקור].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ואף על פי כן נושא אותו דוח דירוגי מצב מפורטים לכל חדרי הדירה, שלושה סימוני אישור ובהם "אני מאשר בחתימתי את כל הנתונים שבסיכום זה לאחר שקראתי אותו והבנתי אותו", וחותמת </w:t>
      </w:r>
      <w:r>
        <w:rPr>
          <w:rFonts w:ascii="David" w:cs="David" w:eastAsia="David" w:hAnsi="David"/>
          <w:b/>
          <w:bCs/>
          <w:i w:val="false"/>
          <w:iCs w:val="false"/>
          <w:sz w:val="24"/>
          <w:szCs w:val="24"/>
          <w:rtl/>
        </w:rPr>
        <w:t xml:space="preserve">"מסרב לחתום"</w:t>
      </w:r>
      <w:r>
        <w:rPr>
          <w:rFonts w:ascii="David" w:cs="David" w:eastAsia="David" w:hAnsi="David"/>
          <w:b w:val="false"/>
          <w:bCs w:val="false"/>
          <w:i w:val="false"/>
          <w:iCs w:val="false"/>
          <w:sz w:val="24"/>
          <w:szCs w:val="24"/>
          <w:rtl/>
        </w:rPr>
        <w:t xml:space="preserve">. קרי, בדיקה פנימית של הדירה כולה וקביעה פוזיטיבית, על יסוד ביקור שלא נערך.</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והמוקדם שברישומי הטבלה הוא מיום 11.8.2010, כך שביחס ליום 1.8.2009, נקודת המוצא של אמת המידה, אין בה דבר.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48.</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המנוח היה אז כבן שבעים ושמונה. הוא דובר אמהרית, לא ידע קרוא וכתוב ולא שלט בעברית.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מי שהחתימה אותו היא גב' נטלי לוגסי, מנהלת תיק הלקוח מטעם התובעת, שאינה דוברת אמהרית; ובדוח הביקור שערכה (עמ' 33) נרשם "ביקור בוצע ב 10/11/21", הוא יום החתימה.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בפרק "אישור חתימה" שבתחתית הטופס מציע הנוסח המודפס שתי חלופות, "לאחר שקרא/ה אותה" ו"הקראתי לו/ה", ואיש לא סימן איזו מהן התקיימה. אין בטופס זכר למתורגמן, ואין בו אינדיקציה שתוכנו הובא לידיעת המנוח בשפה שהבין.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גוף הטופס כולו מודפס מראש, והמנוח לא הוסיף בו דבר מלבד חתימתו והתאריך.</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מסמך שהוחתם כך על אדם שאינו יודע קרוא וכתוב, מבלי שהוכח כי הוסבר לו בשפתו, אין ליתן בו משקל. הנתבעת שומרת על זכותה להתנגד להגשתו ולעתור להוצאתו מן התיק.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וסעיף 3 לטופס מגלה את תכליתו: כי ההצהרה "לא תאפשר לקרובי לטעון כי גרו איתי בדירה, לרבות לצורך הוכחת משך מגורים בדירה כדי להיחשב 'דיירים ממשיכים'".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ברם, המעמד שבחוק זכויות הדייר בדיור הציבורי קם לנתבעת מכוח דין, והיא לא היתה צד לאותו טופס. זכות סטטוטורית של מי שאינו חתום על הטופס אינה ניתנת לוויתור בידי החותם, ולו מטעמי תקנת הציבור שבסעיף 30 לחוק החוזים (חלק כללי), התשל"ג-1973.</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ומכל מקום עסקינן בטופס אחד ממועד אחד, שאין בו כדי ללמד על התקופה שקדמה לו או על זו שלאחריה.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57.</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בחודש יולי 2026 פנה האגף לשירותים חברתיים בעיריית פתח תקווה במכתב שעניינו הנתבעת (נספח ה'), המוכרת באותו אגף כנתמכת (נספח 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(נספח ז').</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ובסיפתו: </w:t>
      </w:r>
      <w:r>
        <w:rPr>
          <w:rFonts w:ascii="David" w:cs="David" w:eastAsia="David" w:hAnsi="David"/>
          <w:b/>
          <w:bCs/>
          <w:i w:val="false"/>
          <w:iCs w:val="false"/>
          <w:sz w:val="24"/>
          <w:szCs w:val="24"/>
          <w:rtl/>
        </w:rPr>
        <w:t xml:space="preserve">"נודה על כל התחשבות במצבה והימנעות מהוצאתה מהדירה בה מתגוררת מזה 30 שנה"</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וכבר בשנת 2013 פנתה הנתבעת בכתב אל משרד הבינוי והשיכון בבקשה לפתרון דיור, ותיארה כי אין לה קורת גג משלה וכי היא מתגוררת בשכירות. הפנייה נמסרה באמצעות מרכז אלונים, גורם רווחה ושיקום, ואושרה בחותמתו ביום 28.6.2013 (נספח ד').</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לחומר זה משקל ישיר לעניין הזכאות העצמאית לפי סעיף 3(ב) ולעניין ההשבה. ואולם התובעת החליטה בלא שפנתה לגורמי הרווחה, בנספח 4 אין לו כל התייחסות, ועניינה של הנתבעת לא הובא בפני הוועדה לבחינת מקרים חריגים.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62.</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64.</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8, 13, 14 ו-17 אינו מוכחש ככל שהוא נוגע לזהות הצדדים והדירה, לסמכות, להשכרת הדירה למנוח ולמועד פטירתו; ומוכחשת כל מסקנה משפטית הנגזרת מהם.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2, 9, 10, 15 ו-16 מוכחש: הנתבעת לא פלשה ואינה מחזיקה שלא כדין, ולא נשלחו אליה התראות.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הנטען בסעיפים 3, 4, 11, 18, 19, 21, 22 ו-23 מוכחש מן הטעמים המפורטים לעיל. אין הכחשה לעצם קיומו של המסמך שבנספח 4, ומוכחש כי מדובר בהחלטה שנתקבלה כדין.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סעיפים 12 ו-20 אינם טענות שבעובדה הטעונות הכחשה. ואשר לסעיף 20 יוער כי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68.</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למוחקה מחמת פיצול סעדים.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לחלופין, לקבוע כי לא קמה עילה לדמי שימוש ראויים כל עוד לא נמסרה הודעה לפי סעיף 3(א) ולא חלפו תשעה חודשים ממסירתה.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ולחלופי חלופין, להעמיד את החיוב על דמי השכירות המסובסדים בניכוי התשלומים ששולמו.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2013; ה' מכתב האגף לשירותים חברתיים, יולי 2026; ו' אישור הכרה כנתמכת; ז' אישור המוסד לביטוח לאומי; ח' בקשת ההכרה כדיירת ממשיכה; ט'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נגד טדילה וונדימאג'ן | תצהיר לפי טופס 5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לפי תקנה 79(א)(1) לתקנות.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שבכתב ההגנה, להבדיל מן הטענות המשפטיות ומן המסקנות שבו, נכונות וידועות לי מידיעתי האישית; והעובדות הנוגעות למסמכי התובעת ידועות לי מתוך המסמכים עצמם.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גדלתי בדירה והתגוררתי בה מילדותי, לרבות ביום 1.8.2009 וברציפות עד לשנת 2019. באותה שנה, על רקע מתח שנתגלע ביני לבין אבי, שכרתי דירה בסמוך.</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חדלתי לבקרו, סייעתי לו והכנתי עבורו אוכל. בסמוך לחודש דצמבר 2023 עזבתי את הדירה השכורה ועברתי לשהות לצדו ולסעוד אותו עד לפטירתו, ומאז אני מתגוררת בדירה ברציפות.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אבי המנוח, מר מנבר וונדימאג'ן ז"ל, ת.ז. 303214381, יליד 1943, עלה מאתיופיה בשנת 1991; הוא היה דובר אמהרית, לא ידע קרוא וכתוב ולא שלט בעברית.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"עדן" הוא שמי העברי.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אני נכה בשיעור 100% ואיני עובדת, מוכרת באגף לשירותים חברתיים בעיריית פתח תקווה וסמוכה על קצבת המוסד לביטוח לאומי; אין לי דירה בבעלותי ומעולם לא היתה לי.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לא הומצאה לי החלטה, ולא נמסרה לי הודעה מאת משרד הבינוי והשיכון בדבר אי-זכאותי לדירה ציבורית.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ט' לכתב ההגנה. אין בידי תכתובת בכתב מול התובעת, שכן פניותיי אליה נעשו בעל פה במשרדיה.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ת.ז. 303214373, ולאחר שהזהרתיה כי עליה לומר את האמת וכי תהיה צפויה לעונשים הקבועים בחוק אם לא תעשה כן, אישרה את נכונות הצהרתה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התאמה לכתב ההגנה בתביעת סילוק היד.</w:t>
      </w:r>
      <w:r>
        <w:rPr>
          <w:rFonts w:ascii="David" w:cs="David" w:eastAsia="David" w:hAnsi="David"/>
          <w:b w:val="false"/>
          <w:bCs w:val="false"/>
          <w:i w:val="false"/>
          <w:iCs w:val="false"/>
          <w:sz w:val="24"/>
          <w:szCs w:val="24"/>
          <w:rtl/>
        </w:rPr>
        <w:t xml:space="preserve"> הגרסה העובדתית שנקבעה - מגורים בדירה מילדות, לרבות ביום 1.8.2009 וברציפות עד שנת 2019; שכירת דירה בסמוך באותה שנה על רקע מתח עם האב, בלא נטישתו; שיבה אל הדירה בסמוך לדצמבר 2023 לשם סיעודו; ומגורים רצופים מאז - שולבה בחלק השני ובחלק השלישי לכתב הגנה זה ובתצהיר. יש לוודא שכתב ההגנה בת"א 12718-06-26 מוסר את אותה גרסה בדיוק, ובפרט את תקופת 2009 עד 2019 ואת הטעם למעבר, שכן הדיונים אוחדו.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לצרף את מכתב האגף לשירותים חברתיים בעיריית פתח תקווה (נספח ה') ולאמת מול המקור את הציטוטים שבכתב ההגנה. המכתב אינו נושא שם עובד ותפקיד ואינו נושא תאריך מדויק, ולכן נרשם בגוף כתב ההגנה לפי החודש בלבד. כן לצרף את אישור ההכרה כנתמכת (נספח ו') ואת אישור המוסד לביטוח לאומי בדבר נכות בשיעור 100% (נספח ז').</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לאיסוף ולצירוף: מרשם האוכלוסין ותמצית רישום לשנים 2009 עד 2019, חשבונות ודברי דואר שנשלחו לכתובת הדירה באותן שנים, חוזה השכירות של הדירה שנשכרה בשנת 2019 ומועד סיומו, מסמכים רפואיים מתקופת מחלת האב, ותצהירי שכנים מאותו בניין המכירים את הנתבעת ואת המנוח שנים רבות.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הנתבעת משנת 2013 (נספח ד'): כתב היד אינו קריא במלואו, והתיאור שבו נוגע גם לבני משפחה נוספים. יש לקרוא אותו עם הלקוחה ולוודא שהתיאור שבכתב ההגנה תואם את תוכנו במדויק, ובפרט שאינו סותר את האמור במכתב הרווחה מיולי 2026.</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התשס"ט-2009, ובפרט אם ארבע שנות המגורים הרצופות נדרשות עד למועד הפטירה או בתוך התקופה שמיום 1.8.2009; כן לאמת את סימון סעיף הקטן שבסעיף 2 לחוזה שעניינו הודעה בכתב שישים יום מראש.</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ט') ובקשת ההכרה כדיירת ממשיכה (נספח ח').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2026-09-02T13:59:09.746Z</dcterms:created>
  <dcterms:modified xsi:type="dcterms:W3CDTF">2026-09-02T13:59:09.746Z</dcterms:modified>
</cp:coreProperties>
</file>

<file path=docProps/custom.xml><?xml version="1.0" encoding="utf-8"?>
<Properties xmlns="http://schemas.openxmlformats.org/officeDocument/2006/custom-properties" xmlns:vt="http://schemas.openxmlformats.org/officeDocument/2006/docPropsVTypes"/>
</file>