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bidiVisual/>
      </w:tblPr>
      <w:tblGrid>
        <w:gridCol w:w="4536"/>
        <w:gridCol w:w="4536"/>
      </w:tblGrid>
      <w:tr>
        <w:tc>
          <w:tcPr>
            <w:tcW w:type="dxa" w:w="4536"/>
          </w:tcPr>
          <w:p>
            <w:pPr>
              <w:bidi/>
              <w:spacing w:after="0" w:before="0" w:line="240" w:lineRule="auto"/>
              <w:jc w:val="right"/>
            </w:pPr>
            <w:r>
              <w:rPr>
                <w:rFonts w:ascii="David" w:hAnsi="David" w:cs="David" w:eastAsia="David"/>
                <w:b/>
                <w:i w:val="0"/>
                <w:sz w:val="24"/>
                <w:u w:val="none"/>
                <w:szCs w:val="24"/>
                <w:rtl/>
                <w:bCs/>
              </w:rPr>
              <w:t>בבית המשפט לענייני משפחה בקריות</w:t>
            </w:r>
          </w:p>
        </w:tc>
        <w:tc>
          <w:tcPr>
            <w:tcW w:type="dxa" w:w="4536"/>
          </w:tcPr>
          <w:p>
            <w:pPr>
              <w:bidi/>
              <w:spacing w:after="0" w:before="0" w:line="240" w:lineRule="auto"/>
              <w:jc w:val="left"/>
            </w:pPr>
            <w:r>
              <w:rPr>
                <w:rFonts w:ascii="David" w:hAnsi="David" w:cs="David" w:eastAsia="David"/>
                <w:b w:val="0"/>
                <w:i w:val="0"/>
                <w:sz w:val="24"/>
                <w:u w:val="none"/>
                <w:szCs w:val="24"/>
                <w:rtl/>
              </w:rPr>
              <w:t>תה"ס / תלה"מ ____________</w:t>
            </w:r>
          </w:p>
        </w:tc>
      </w:tr>
      <w:tr>
        <w:tc>
          <w:tcPr>
            <w:tcW w:type="dxa" w:w="4536"/>
          </w:tcPr>
          <w:p>
            <w:pPr>
              <w:bidi/>
              <w:spacing w:after="0" w:before="0" w:line="240" w:lineRule="auto"/>
              <w:jc w:val="right"/>
            </w:pPr>
            <w:r>
              <w:rPr>
                <w:rFonts w:ascii="David" w:hAnsi="David" w:cs="David" w:eastAsia="David"/>
                <w:b w:val="0"/>
                <w:i w:val="0"/>
                <w:sz w:val="24"/>
                <w:u w:val="none"/>
                <w:szCs w:val="24"/>
                <w:rtl/>
              </w:rPr>
            </w:r>
          </w:p>
        </w:tc>
        <w:tc>
          <w:tcPr>
            <w:tcW w:type="dxa" w:w="4536"/>
          </w:tcPr>
          <w:p>
            <w:pPr>
              <w:bidi/>
              <w:spacing w:after="0" w:before="0" w:line="240" w:lineRule="auto"/>
              <w:jc w:val="left"/>
            </w:pPr>
            <w:r>
              <w:rPr>
                <w:rFonts w:ascii="David" w:hAnsi="David" w:cs="David" w:eastAsia="David"/>
                <w:b w:val="0"/>
                <w:i w:val="0"/>
                <w:sz w:val="24"/>
                <w:u w:val="none"/>
                <w:szCs w:val="24"/>
                <w:rtl/>
              </w:rPr>
              <w:t>בפני כב' השופטת מאיה לוי</w:t>
            </w:r>
          </w:p>
        </w:tc>
      </w:tr>
    </w:tbl>
    <w:p>
      <w:pPr>
        <w:bidi/>
        <w:spacing w:after="80" w:before="0" w:line="360" w:lineRule="auto"/>
        <w:jc w:val="both"/>
      </w:pPr>
    </w:p>
    <w:p>
      <w:pPr>
        <w:bidi/>
        <w:spacing w:after="0" w:before="0" w:line="360" w:lineRule="auto"/>
        <w:jc w:val="right"/>
      </w:pPr>
      <w:r>
        <w:rPr>
          <w:rFonts w:ascii="David" w:hAnsi="David" w:cs="David" w:eastAsia="David"/>
          <w:b/>
          <w:i w:val="0"/>
          <w:sz w:val="24"/>
          <w:u w:val="single"/>
          <w:szCs w:val="24"/>
          <w:rtl/>
          <w:bCs/>
        </w:rPr>
        <w:t>המבקשת 2 / המתנגדת:</w:t>
      </w:r>
    </w:p>
    <w:p>
      <w:pPr>
        <w:bidi/>
        <w:spacing w:after="0" w:before="0" w:line="360" w:lineRule="auto"/>
        <w:ind w:left="567"/>
        <w:jc w:val="right"/>
      </w:pPr>
      <w:r>
        <w:rPr>
          <w:rFonts w:ascii="David" w:hAnsi="David" w:cs="David" w:eastAsia="David"/>
          <w:b/>
          <w:i w:val="0"/>
          <w:sz w:val="24"/>
          <w:u w:val="none"/>
          <w:szCs w:val="24"/>
          <w:rtl/>
          <w:bCs/>
        </w:rPr>
        <w:t>יאלו איינאלם דירקון</w:t>
      </w:r>
      <w:r>
        <w:rPr>
          <w:rFonts w:ascii="David" w:hAnsi="David" w:cs="David" w:eastAsia="David"/>
          <w:b w:val="0"/>
          <w:i w:val="0"/>
          <w:sz w:val="24"/>
          <w:u w:val="none"/>
          <w:szCs w:val="24"/>
          <w:rtl/>
        </w:rPr>
        <w:t>, ת.ז. ____________</w:t>
      </w:r>
    </w:p>
    <w:p>
      <w:pPr>
        <w:bidi/>
        <w:spacing w:after="0" w:before="0" w:line="360" w:lineRule="auto"/>
        <w:ind w:left="567"/>
        <w:jc w:val="right"/>
      </w:pPr>
      <w:r>
        <w:rPr>
          <w:rFonts w:ascii="David" w:hAnsi="David" w:cs="David" w:eastAsia="David"/>
          <w:b w:val="0"/>
          <w:i w:val="0"/>
          <w:sz w:val="24"/>
          <w:u w:val="none"/>
          <w:szCs w:val="24"/>
          <w:rtl/>
        </w:rPr>
        <w:t>ע"י ב"כ עוה"ד ____________</w:t>
      </w:r>
    </w:p>
    <w:p>
      <w:pPr>
        <w:bidi/>
        <w:spacing w:after="160" w:before="0" w:line="360" w:lineRule="auto"/>
        <w:ind w:left="567"/>
        <w:jc w:val="right"/>
      </w:pPr>
      <w:r>
        <w:rPr>
          <w:rFonts w:ascii="David" w:hAnsi="David" w:cs="David" w:eastAsia="David"/>
          <w:b w:val="0"/>
          <w:i w:val="0"/>
          <w:sz w:val="24"/>
          <w:u w:val="none"/>
          <w:szCs w:val="24"/>
          <w:rtl/>
        </w:rPr>
        <w:t>מרח' ____________; טל': ____________; פקס: ____________; דוא"ל: ____________</w:t>
      </w:r>
    </w:p>
    <w:p>
      <w:pPr>
        <w:bidi/>
        <w:spacing w:after="160" w:before="0" w:line="360" w:lineRule="auto"/>
        <w:jc w:val="center"/>
      </w:pPr>
      <w:r>
        <w:rPr>
          <w:rFonts w:ascii="David" w:hAnsi="David" w:cs="David" w:eastAsia="David"/>
          <w:b/>
          <w:i w:val="0"/>
          <w:sz w:val="24"/>
          <w:u w:val="none"/>
          <w:szCs w:val="24"/>
          <w:rtl/>
          <w:bCs/>
        </w:rPr>
        <w:t>- נ ג ד -</w:t>
      </w:r>
    </w:p>
    <w:p>
      <w:pPr>
        <w:bidi/>
        <w:spacing w:after="0" w:before="0" w:line="360" w:lineRule="auto"/>
        <w:jc w:val="right"/>
      </w:pPr>
      <w:r>
        <w:rPr>
          <w:rFonts w:ascii="David" w:hAnsi="David" w:cs="David" w:eastAsia="David"/>
          <w:b/>
          <w:i w:val="0"/>
          <w:sz w:val="24"/>
          <w:u w:val="single"/>
          <w:szCs w:val="24"/>
          <w:rtl/>
          <w:bCs/>
        </w:rPr>
        <w:t>המבקש 1 / המשיב:</w:t>
      </w:r>
    </w:p>
    <w:p>
      <w:pPr>
        <w:bidi/>
        <w:spacing w:after="0" w:before="0" w:line="360" w:lineRule="auto"/>
        <w:ind w:left="567"/>
        <w:jc w:val="right"/>
      </w:pPr>
      <w:r>
        <w:rPr>
          <w:rFonts w:ascii="David" w:hAnsi="David" w:cs="David" w:eastAsia="David"/>
          <w:b/>
          <w:i w:val="0"/>
          <w:sz w:val="24"/>
          <w:u w:val="none"/>
          <w:szCs w:val="24"/>
          <w:rtl/>
          <w:bCs/>
        </w:rPr>
        <w:t>דגו טסטפה יוסף</w:t>
      </w:r>
      <w:r>
        <w:rPr>
          <w:rFonts w:ascii="David" w:hAnsi="David" w:cs="David" w:eastAsia="David"/>
          <w:b w:val="0"/>
          <w:i w:val="0"/>
          <w:sz w:val="24"/>
          <w:u w:val="none"/>
          <w:szCs w:val="24"/>
          <w:rtl/>
        </w:rPr>
        <w:t>, ת.ז. ____________</w:t>
      </w:r>
    </w:p>
    <w:p>
      <w:pPr>
        <w:bidi/>
        <w:spacing w:after="0" w:before="0" w:line="360" w:lineRule="auto"/>
        <w:ind w:left="567"/>
        <w:jc w:val="right"/>
      </w:pPr>
      <w:r>
        <w:rPr>
          <w:rFonts w:ascii="David" w:hAnsi="David" w:cs="David" w:eastAsia="David"/>
          <w:b w:val="0"/>
          <w:i w:val="0"/>
          <w:sz w:val="24"/>
          <w:u w:val="none"/>
          <w:szCs w:val="24"/>
          <w:rtl/>
        </w:rPr>
        <w:t>ע"י ב"כ עוה"ד יצחק דסי [או: בעצמו, ככל שיודיע על הפסקת ייצוג]</w:t>
      </w:r>
    </w:p>
    <w:p>
      <w:pPr>
        <w:bidi/>
        <w:spacing w:after="240" w:before="0" w:line="360" w:lineRule="auto"/>
        <w:ind w:left="567"/>
        <w:jc w:val="right"/>
      </w:pPr>
      <w:r>
        <w:rPr>
          <w:rFonts w:ascii="David" w:hAnsi="David" w:cs="David" w:eastAsia="David"/>
          <w:b w:val="0"/>
          <w:i w:val="0"/>
          <w:sz w:val="24"/>
          <w:u w:val="none"/>
          <w:szCs w:val="24"/>
          <w:rtl/>
        </w:rPr>
        <w:t>מרח' ____________; טל': ____________; פקס: ____________</w:t>
      </w:r>
    </w:p>
    <w:p>
      <w:pPr>
        <w:bidi/>
        <w:spacing w:after="0" w:before="0" w:line="360" w:lineRule="auto"/>
        <w:jc w:val="center"/>
      </w:pPr>
      <w:r>
        <w:rPr>
          <w:rFonts w:ascii="David" w:hAnsi="David" w:cs="David" w:eastAsia="David"/>
          <w:b/>
          <w:i w:val="0"/>
          <w:sz w:val="28"/>
          <w:u w:val="single"/>
          <w:szCs w:val="28"/>
          <w:rtl/>
          <w:bCs/>
        </w:rPr>
        <w:t>הודעה על חזרה מהסכמה ועל הפסקת ייצוג משותף,</w:t>
      </w:r>
    </w:p>
    <w:p>
      <w:pPr>
        <w:bidi/>
        <w:spacing w:after="80" w:before="0" w:line="360" w:lineRule="auto"/>
        <w:jc w:val="center"/>
      </w:pPr>
      <w:r>
        <w:rPr>
          <w:rFonts w:ascii="David" w:hAnsi="David" w:cs="David" w:eastAsia="David"/>
          <w:b/>
          <w:i w:val="0"/>
          <w:sz w:val="28"/>
          <w:u w:val="single"/>
          <w:szCs w:val="28"/>
          <w:rtl/>
          <w:bCs/>
        </w:rPr>
        <w:t>התנגדות לאישור "הסכם ההבהרה" ובקשה לדחיית הבקשה לאישורו</w:t>
      </w:r>
    </w:p>
    <w:p>
      <w:pPr>
        <w:bidi/>
        <w:spacing w:after="240" w:before="0" w:line="360" w:lineRule="auto"/>
        <w:jc w:val="center"/>
      </w:pPr>
      <w:r>
        <w:rPr>
          <w:rFonts w:ascii="David" w:hAnsi="David" w:cs="David" w:eastAsia="David"/>
          <w:b w:val="0"/>
          <w:i w:val="0"/>
          <w:sz w:val="22"/>
          <w:u w:val="none"/>
          <w:szCs w:val="22"/>
          <w:rtl/>
        </w:rPr>
        <w:t>(מוגשת במסגרת המועד שנקבע בהחלטת בית המשפט הנכבד מיום 25.8.26)</w:t>
      </w:r>
    </w:p>
    <w:p>
      <w:pPr>
        <w:bidi/>
        <w:spacing w:after="120" w:before="0" w:line="360" w:lineRule="auto"/>
        <w:jc w:val="both"/>
      </w:pPr>
      <w:r>
        <w:rPr>
          <w:rFonts w:ascii="David" w:hAnsi="David" w:cs="David" w:eastAsia="David"/>
          <w:b w:val="0"/>
          <w:i w:val="0"/>
          <w:sz w:val="24"/>
          <w:u w:val="none"/>
          <w:szCs w:val="24"/>
          <w:rtl/>
        </w:rPr>
        <w:t xml:space="preserve">המבקשת 2 (להלן: </w:t>
      </w:r>
      <w:r>
        <w:rPr>
          <w:rFonts w:ascii="David" w:hAnsi="David" w:cs="David" w:eastAsia="David"/>
          <w:b/>
          <w:i w:val="0"/>
          <w:sz w:val="24"/>
          <w:u w:val="none"/>
          <w:szCs w:val="24"/>
          <w:rtl/>
          <w:bCs/>
        </w:rPr>
        <w:t>"האישה"</w:t>
      </w:r>
      <w:r>
        <w:rPr>
          <w:rFonts w:ascii="David" w:hAnsi="David" w:cs="David" w:eastAsia="David"/>
          <w:b w:val="0"/>
          <w:i w:val="0"/>
          <w:sz w:val="24"/>
          <w:u w:val="none"/>
          <w:szCs w:val="24"/>
          <w:rtl/>
        </w:rPr>
        <w:t xml:space="preserve">), באמצעות ב"כ, מתכבדת להודיע לבית המשפט הנכבד כי היא </w:t>
      </w:r>
      <w:r>
        <w:rPr>
          <w:rFonts w:ascii="David" w:hAnsi="David" w:cs="David" w:eastAsia="David"/>
          <w:b/>
          <w:i w:val="0"/>
          <w:sz w:val="24"/>
          <w:u w:val="none"/>
          <w:szCs w:val="24"/>
          <w:rtl/>
          <w:bCs/>
        </w:rPr>
        <w:t>חוזרת בה מהסכמתה</w:t>
      </w:r>
      <w:r>
        <w:rPr>
          <w:rFonts w:ascii="David" w:hAnsi="David" w:cs="David" w:eastAsia="David"/>
          <w:b w:val="0"/>
          <w:i w:val="0"/>
          <w:sz w:val="24"/>
          <w:u w:val="none"/>
          <w:szCs w:val="24"/>
          <w:rtl/>
        </w:rPr>
        <w:t xml:space="preserve"> למסמך שכותרתו "הסכם הבהרה" נושא הבקשה דנא (להלן: </w:t>
      </w:r>
      <w:r>
        <w:rPr>
          <w:rFonts w:ascii="David" w:hAnsi="David" w:cs="David" w:eastAsia="David"/>
          <w:b/>
          <w:i w:val="0"/>
          <w:sz w:val="24"/>
          <w:u w:val="none"/>
          <w:szCs w:val="24"/>
          <w:rtl/>
          <w:bCs/>
        </w:rPr>
        <w:t>"הסכם ההבהרה"</w:t>
      </w:r>
      <w:r>
        <w:rPr>
          <w:rFonts w:ascii="David" w:hAnsi="David" w:cs="David" w:eastAsia="David"/>
          <w:b w:val="0"/>
          <w:i w:val="0"/>
          <w:sz w:val="24"/>
          <w:u w:val="none"/>
          <w:szCs w:val="24"/>
          <w:rtl/>
        </w:rPr>
        <w:t xml:space="preserve">), כי הפסיקה את ייצוגה בידי עו"ד יצחק דסי, וכי היא </w:t>
      </w:r>
      <w:r>
        <w:rPr>
          <w:rFonts w:ascii="David" w:hAnsi="David" w:cs="David" w:eastAsia="David"/>
          <w:b/>
          <w:i w:val="0"/>
          <w:sz w:val="24"/>
          <w:u w:val="none"/>
          <w:szCs w:val="24"/>
          <w:rtl/>
          <w:bCs/>
        </w:rPr>
        <w:t>מתנגדת לאישורו</w:t>
      </w:r>
      <w:r>
        <w:rPr>
          <w:rFonts w:ascii="David" w:hAnsi="David" w:cs="David" w:eastAsia="David"/>
          <w:b w:val="0"/>
          <w:i w:val="0"/>
          <w:sz w:val="24"/>
          <w:u w:val="none"/>
          <w:szCs w:val="24"/>
          <w:rtl/>
        </w:rPr>
        <w:t>; ובהתאם מתבקש בית המשפט הנכבד בזאת:</w:t>
      </w:r>
    </w:p>
    <w:p>
      <w:pPr>
        <w:bidi/>
        <w:spacing w:after="80" w:before="0" w:line="360" w:lineRule="auto"/>
        <w:ind w:left="567" w:hanging="567"/>
        <w:jc w:val="both"/>
      </w:pPr>
      <w:r>
        <w:rPr>
          <w:rFonts w:ascii="David" w:hAnsi="David" w:cs="David" w:eastAsia="David"/>
          <w:b w:val="0"/>
          <w:i w:val="0"/>
          <w:sz w:val="24"/>
          <w:u w:val="none"/>
          <w:szCs w:val="24"/>
          <w:rtl/>
        </w:rPr>
        <w:t>א.</w:t>
        <w:tab/>
      </w:r>
      <w:r>
        <w:rPr>
          <w:rFonts w:ascii="David" w:hAnsi="David" w:cs="David" w:eastAsia="David"/>
          <w:b w:val="0"/>
          <w:i w:val="0"/>
          <w:sz w:val="24"/>
          <w:u w:val="none"/>
          <w:szCs w:val="24"/>
          <w:rtl/>
        </w:rPr>
        <w:t>לקבוע כי משחזרה בה האישה מהסכמתה בטרם אושר הסכם ההבהרה, אין עוד בפני בית המשפט הנכבד "הסכם" שניתן לאשרו לפי סעיף 2 לחוק יחסי ממון בין בני זוג, התשל"ג-1973 (להלן: "חוק יחסי ממון"), ולדחות את הבקשה לאישורו מיום 19.8.26.</w:t>
      </w:r>
    </w:p>
    <w:p>
      <w:pPr>
        <w:bidi/>
        <w:spacing w:after="80" w:before="0" w:line="360" w:lineRule="auto"/>
        <w:ind w:left="567" w:hanging="567"/>
        <w:jc w:val="both"/>
      </w:pPr>
      <w:r>
        <w:rPr>
          <w:rFonts w:ascii="David" w:hAnsi="David" w:cs="David" w:eastAsia="David"/>
          <w:b w:val="0"/>
          <w:i w:val="0"/>
          <w:sz w:val="24"/>
          <w:u w:val="none"/>
          <w:szCs w:val="24"/>
          <w:rtl/>
        </w:rPr>
        <w:t>ב.</w:t>
        <w:tab/>
      </w:r>
      <w:r>
        <w:rPr>
          <w:rFonts w:ascii="David" w:hAnsi="David" w:cs="David" w:eastAsia="David"/>
          <w:b w:val="0"/>
          <w:i w:val="0"/>
          <w:sz w:val="24"/>
          <w:u w:val="none"/>
          <w:szCs w:val="24"/>
          <w:rtl/>
        </w:rPr>
        <w:t>לחלופין - להימנע מאישור הסכם ההבהרה, משלא ניתן להיווכח כי האישה עשתה אותו "בהסכמה חופשית ובהבינה את משמעותו ואת תוצאותיו", כדרישת סעיף 2(ב) לחוק יחסי ממון.</w:t>
      </w:r>
    </w:p>
    <w:p>
      <w:pPr>
        <w:bidi/>
        <w:spacing w:after="80" w:before="0" w:line="360" w:lineRule="auto"/>
        <w:ind w:left="567" w:hanging="567"/>
        <w:jc w:val="both"/>
      </w:pPr>
      <w:r>
        <w:rPr>
          <w:rFonts w:ascii="David" w:hAnsi="David" w:cs="David" w:eastAsia="David"/>
          <w:b w:val="0"/>
          <w:i w:val="0"/>
          <w:sz w:val="24"/>
          <w:u w:val="none"/>
          <w:szCs w:val="24"/>
          <w:rtl/>
        </w:rPr>
        <w:t>ג.</w:t>
        <w:tab/>
      </w:r>
      <w:r>
        <w:rPr>
          <w:rFonts w:ascii="David" w:hAnsi="David" w:cs="David" w:eastAsia="David"/>
          <w:b w:val="0"/>
          <w:i w:val="0"/>
          <w:sz w:val="24"/>
          <w:u w:val="none"/>
          <w:szCs w:val="24"/>
          <w:rtl/>
        </w:rPr>
        <w:t>לחלופי חלופין - ככל שיוחלט להמשיך ולברר את הבקשה, לקבוע דיון הוכחות; להורות על מינוי מתורגמן מוסמך לשפה ה[אמהרית/טיגרינית] לכל דיון; ולהורות למשיב להמציא לאישה, קודם לכל דיון, את דפי החשבון וכל מסמך שעליו נסמכים הסכומים הנקובים בהסכם ההבהרה.</w:t>
      </w:r>
    </w:p>
    <w:p>
      <w:pPr>
        <w:bidi/>
        <w:spacing w:after="80" w:before="0" w:line="360" w:lineRule="auto"/>
        <w:ind w:left="567" w:hanging="567"/>
        <w:jc w:val="both"/>
      </w:pPr>
      <w:r>
        <w:rPr>
          <w:rFonts w:ascii="David" w:hAnsi="David" w:cs="David" w:eastAsia="David"/>
          <w:b w:val="0"/>
          <w:i w:val="0"/>
          <w:sz w:val="24"/>
          <w:u w:val="none"/>
          <w:szCs w:val="24"/>
          <w:rtl/>
        </w:rPr>
        <w:t>ד.</w:t>
        <w:tab/>
      </w:r>
      <w:r>
        <w:rPr>
          <w:rFonts w:ascii="David" w:hAnsi="David" w:cs="David" w:eastAsia="David"/>
          <w:b w:val="0"/>
          <w:i w:val="0"/>
          <w:sz w:val="24"/>
          <w:u w:val="none"/>
          <w:szCs w:val="24"/>
          <w:rtl/>
        </w:rPr>
        <w:t>לקבוע כי עד להכרעה אחרת, הסכם הממון שאושר וקיבל תוקף של פסק דין ביום 8.7.20 הוא המסגרת המחייבת היחידה בין הצדדים, וכי אין בהסכם ההבהרה כדי לשנות מצב משפטי כלשהו.</w:t>
      </w:r>
    </w:p>
    <w:p>
      <w:pPr>
        <w:bidi/>
        <w:spacing w:after="80" w:before="0" w:line="360" w:lineRule="auto"/>
        <w:ind w:left="567" w:hanging="567"/>
        <w:jc w:val="both"/>
      </w:pPr>
      <w:r>
        <w:rPr>
          <w:rFonts w:ascii="David" w:hAnsi="David" w:cs="David" w:eastAsia="David"/>
          <w:b w:val="0"/>
          <w:i w:val="0"/>
          <w:sz w:val="24"/>
          <w:u w:val="none"/>
          <w:szCs w:val="24"/>
          <w:rtl/>
        </w:rPr>
        <w:t>ה.</w:t>
        <w:tab/>
      </w:r>
      <w:r>
        <w:rPr>
          <w:rFonts w:ascii="David" w:hAnsi="David" w:cs="David" w:eastAsia="David"/>
          <w:b w:val="0"/>
          <w:i w:val="0"/>
          <w:sz w:val="24"/>
          <w:u w:val="none"/>
          <w:szCs w:val="24"/>
          <w:rtl/>
        </w:rPr>
        <w:t>לחייב את המשיב בהוצאות האישה ובשכר טרחת עו"ד.</w:t>
      </w:r>
    </w:p>
    <w:p>
      <w:pPr>
        <w:bidi/>
        <w:spacing w:after="160" w:before="0" w:line="360" w:lineRule="auto"/>
        <w:jc w:val="right"/>
      </w:pPr>
      <w:r>
        <w:rPr>
          <w:rFonts w:ascii="David" w:hAnsi="David" w:cs="David" w:eastAsia="David"/>
          <w:b/>
          <w:i w:val="0"/>
          <w:sz w:val="24"/>
          <w:u w:val="single"/>
          <w:szCs w:val="24"/>
          <w:rtl/>
          <w:bCs/>
        </w:rPr>
        <w:t>ואלו נימוקי הבקשה:</w:t>
      </w:r>
    </w:p>
    <w:p>
      <w:pPr>
        <w:keepNext/>
        <w:bidi/>
        <w:spacing w:after="120" w:before="0" w:line="360" w:lineRule="auto"/>
        <w:jc w:val="right"/>
      </w:pPr>
      <w:r>
        <w:rPr>
          <w:rFonts w:ascii="David" w:hAnsi="David" w:cs="David" w:eastAsia="David"/>
          <w:b/>
          <w:i w:val="0"/>
          <w:sz w:val="24"/>
          <w:u w:val="single"/>
          <w:szCs w:val="24"/>
          <w:rtl/>
          <w:bCs/>
        </w:rPr>
        <w:t>א. פתח דבר</w:t>
      </w:r>
    </w:p>
    <w:p>
      <w:pPr>
        <w:bidi/>
        <w:spacing w:after="160" w:before="0" w:line="360" w:lineRule="auto"/>
        <w:ind w:left="567" w:hanging="567"/>
        <w:jc w:val="both"/>
      </w:pPr>
      <w:r>
        <w:rPr>
          <w:rFonts w:ascii="David" w:hAnsi="David" w:cs="David" w:eastAsia="David"/>
          <w:b w:val="0"/>
          <w:i w:val="0"/>
          <w:sz w:val="24"/>
          <w:u w:val="none"/>
          <w:szCs w:val="24"/>
          <w:rtl/>
        </w:rPr>
        <w:t>1.</w:t>
        <w:tab/>
      </w:r>
      <w:r>
        <w:rPr>
          <w:rFonts w:ascii="David" w:hAnsi="David" w:cs="David" w:eastAsia="David"/>
          <w:b w:val="0"/>
          <w:i w:val="0"/>
          <w:sz w:val="24"/>
          <w:u w:val="none"/>
          <w:szCs w:val="24"/>
          <w:rtl/>
        </w:rPr>
        <w:t xml:space="preserve">ודוק; בקשה זו אינה בקשה לביטול הסכם. היא פשוטה מכך בהרבה: </w:t>
      </w:r>
      <w:r>
        <w:rPr>
          <w:rFonts w:ascii="David" w:hAnsi="David" w:cs="David" w:eastAsia="David"/>
          <w:b/>
          <w:i w:val="0"/>
          <w:sz w:val="24"/>
          <w:u w:val="none"/>
          <w:szCs w:val="24"/>
          <w:rtl/>
          <w:bCs/>
        </w:rPr>
        <w:t>אין הסכם.</w:t>
      </w:r>
      <w:r>
        <w:rPr>
          <w:rFonts w:ascii="David" w:hAnsi="David" w:cs="David" w:eastAsia="David"/>
          <w:b w:val="0"/>
          <w:i w:val="0"/>
          <w:sz w:val="24"/>
          <w:u w:val="none"/>
          <w:szCs w:val="24"/>
          <w:rtl/>
        </w:rPr>
        <w:t xml:space="preserve"> הסכם ההבהרה הוא שינוי של הסכם ממון שאושר כדין בשנת 2020, ושינוי כזה - כלשון סעיף 2(א) לחוק יחסי ממון - "טעון אישור". כל עוד לא ניתן האישור, אין למסמך תוקף, וכל צד רשאי לחזור בו מהסכמתו. האישה עושה כן בהודעה זו, בתוך המועד שקצב בית המשפט הנכבד. משנשמטה ההסכמה, לא נותר בפני בית המשפט הנכבד דבר לאשר.</w:t>
      </w:r>
    </w:p>
    <w:p>
      <w:pPr>
        <w:bidi/>
        <w:spacing w:after="160" w:before="0" w:line="360" w:lineRule="auto"/>
        <w:ind w:left="567" w:hanging="567"/>
        <w:jc w:val="both"/>
      </w:pPr>
      <w:r>
        <w:rPr>
          <w:rFonts w:ascii="David" w:hAnsi="David" w:cs="David" w:eastAsia="David"/>
          <w:b w:val="0"/>
          <w:i w:val="0"/>
          <w:sz w:val="24"/>
          <w:u w:val="none"/>
          <w:szCs w:val="24"/>
          <w:rtl/>
        </w:rPr>
        <w:t>2.</w:t>
        <w:tab/>
      </w:r>
      <w:r>
        <w:rPr>
          <w:rFonts w:ascii="David" w:hAnsi="David" w:cs="David" w:eastAsia="David"/>
          <w:b w:val="0"/>
          <w:i w:val="0"/>
          <w:sz w:val="24"/>
          <w:u w:val="none"/>
          <w:szCs w:val="24"/>
          <w:rtl/>
        </w:rPr>
        <w:t>גם אלמלא חזרה בה האישה - ואין זה המצב - לא היה בית המשפט הנכבד יכול להיווכח, כדרישת סעיף 2(ב) לחוק, כי האישה עשתה את הסכם ההבהרה "בהסכמה חופשית ובהבינה את משמעותו ואת תוצאותיו". האישה אינה קוראת ואינה דוברת עברית, כפי שהצהירה בפני בית המשפט הנכבד עצמו ביום 25.8.26 ("אני לא יודעת עברית"); המסמך נוסח בעברית בידי עורך דין ששימש, בלשונו שלו, "עורך דין משותף" לשני הצדדים; הוא "הוסבר" לה בידי זקני העדה ולא תורגם לה במלואו; איש לא אמר לה כי היא רשאית להיוועץ בעורך דין מטעמה; והיא לא הבינה כי היא מאשרת בחתימתה שסך של כ-</w:t>
      </w:r>
      <w:r>
        <w:rPr>
          <w:rFonts w:ascii="David" w:hAnsi="David" w:cs="David" w:eastAsia="David"/>
          <w:b/>
          <w:i w:val="0"/>
          <w:sz w:val="24"/>
          <w:u w:val="none"/>
          <w:szCs w:val="24"/>
          <w:rtl/>
          <w:bCs/>
        </w:rPr>
        <w:t>1,337,787 ש"ח</w:t>
      </w:r>
      <w:r>
        <w:rPr>
          <w:rFonts w:ascii="David" w:hAnsi="David" w:cs="David" w:eastAsia="David"/>
          <w:b w:val="0"/>
          <w:i w:val="0"/>
          <w:sz w:val="24"/>
          <w:u w:val="none"/>
          <w:szCs w:val="24"/>
          <w:rtl/>
        </w:rPr>
        <w:t xml:space="preserve"> שייך למשיב לבדו, בעוד לה נותרים כ-</w:t>
      </w:r>
      <w:r>
        <w:rPr>
          <w:rFonts w:ascii="David" w:hAnsi="David" w:cs="David" w:eastAsia="David"/>
          <w:b/>
          <w:i w:val="0"/>
          <w:sz w:val="24"/>
          <w:u w:val="none"/>
          <w:szCs w:val="24"/>
          <w:rtl/>
          <w:bCs/>
        </w:rPr>
        <w:t>140,000 ש"ח</w:t>
      </w:r>
      <w:r>
        <w:rPr>
          <w:rFonts w:ascii="David" w:hAnsi="David" w:cs="David" w:eastAsia="David"/>
          <w:b w:val="0"/>
          <w:i w:val="0"/>
          <w:sz w:val="24"/>
          <w:u w:val="none"/>
          <w:szCs w:val="24"/>
          <w:rtl/>
        </w:rPr>
        <w:t xml:space="preserve"> בלבד.</w:t>
      </w:r>
    </w:p>
    <w:p>
      <w:pPr>
        <w:bidi/>
        <w:spacing w:after="160" w:before="0" w:line="360" w:lineRule="auto"/>
        <w:ind w:left="567" w:hanging="567"/>
        <w:jc w:val="both"/>
      </w:pPr>
      <w:r>
        <w:rPr>
          <w:rFonts w:ascii="David" w:hAnsi="David" w:cs="David" w:eastAsia="David"/>
          <w:b w:val="0"/>
          <w:i w:val="0"/>
          <w:sz w:val="24"/>
          <w:u w:val="none"/>
          <w:szCs w:val="24"/>
          <w:rtl/>
        </w:rPr>
        <w:t>3.</w:t>
        <w:tab/>
      </w:r>
      <w:r>
        <w:rPr>
          <w:rFonts w:ascii="David" w:hAnsi="David" w:cs="David" w:eastAsia="David"/>
          <w:b w:val="0"/>
          <w:i w:val="0"/>
          <w:sz w:val="24"/>
          <w:u w:val="none"/>
          <w:szCs w:val="24"/>
          <w:rtl/>
        </w:rPr>
        <w:t>לא בכדי נמנע בית המשפט הנכבד מלאשר את הסכם ההבהרה במעמד הדיון. בהחלטתו מיום 25.8.26 הותיר בית המשפט הנכבד את התיק פתוח עד ליום 15.10.26, וקבע במפורש כי בהיעדר הבהרה בעניין הנוסח "הסכם זה עלול לפגוע בזכויות מי מהצדדים, במקרה הרע". הודעה זו מוגשת בתוך אותו חלון שקבע בית המשפט הנכבד, ובעקבות ייעוץ משפטי עצמאי ראשון שקיבלה האישה מאז נחתם המסמך.</w:t>
      </w:r>
    </w:p>
    <w:p>
      <w:pPr>
        <w:keepNext/>
        <w:bidi/>
        <w:spacing w:after="120" w:before="0" w:line="360" w:lineRule="auto"/>
        <w:jc w:val="right"/>
      </w:pPr>
      <w:r>
        <w:rPr>
          <w:rFonts w:ascii="David" w:hAnsi="David" w:cs="David" w:eastAsia="David"/>
          <w:b/>
          <w:i w:val="0"/>
          <w:sz w:val="24"/>
          <w:u w:val="single"/>
          <w:szCs w:val="24"/>
          <w:rtl/>
          <w:bCs/>
        </w:rPr>
        <w:t>ב. הרקע העובדתי הצריך לעניין</w:t>
      </w:r>
    </w:p>
    <w:p>
      <w:pPr>
        <w:bidi/>
        <w:spacing w:after="160" w:before="0" w:line="360" w:lineRule="auto"/>
        <w:ind w:left="567" w:hanging="567"/>
        <w:jc w:val="both"/>
      </w:pPr>
      <w:r>
        <w:rPr>
          <w:rFonts w:ascii="David" w:hAnsi="David" w:cs="David" w:eastAsia="David"/>
          <w:b w:val="0"/>
          <w:i w:val="0"/>
          <w:sz w:val="24"/>
          <w:u w:val="none"/>
          <w:szCs w:val="24"/>
          <w:rtl/>
        </w:rPr>
        <w:t>4.</w:t>
        <w:tab/>
      </w:r>
      <w:r>
        <w:rPr>
          <w:rFonts w:ascii="David" w:hAnsi="David" w:cs="David" w:eastAsia="David"/>
          <w:b w:val="0"/>
          <w:i w:val="0"/>
          <w:sz w:val="24"/>
          <w:u w:val="none"/>
          <w:szCs w:val="24"/>
          <w:rtl/>
        </w:rPr>
        <w:t>הצדדים נישאו זה לזו ביום ____________. ביום 8.7.20 אישר בית המשפט הנכבד הסכם ממון בין הצדדים, הקובע משטר של הפרדה רכושית, ונתן לו תוקף של פסק דין מכוח סעיף 3(ג) לחוק בית המשפט לענייני משפחה, התשנ"ה-1995 (להלן: "הסכם 2020"). הסכם 2020 אושר לאחר שבית המשפט הנכבד נוכח, כדין, בהסכמת הצדדים ובהבנתם.</w:t>
      </w:r>
    </w:p>
    <w:p>
      <w:pPr>
        <w:bidi/>
        <w:spacing w:after="160" w:before="0" w:line="360" w:lineRule="auto"/>
        <w:ind w:left="567"/>
        <w:jc w:val="right"/>
      </w:pPr>
      <w:r>
        <w:rPr>
          <w:rFonts w:ascii="David" w:hAnsi="David" w:cs="David" w:eastAsia="David"/>
          <w:b/>
          <w:i w:val="0"/>
          <w:sz w:val="24"/>
          <w:u w:val="none"/>
          <w:szCs w:val="24"/>
          <w:rtl/>
          <w:bCs/>
        </w:rPr>
        <w:t>העתק הסכם 2020 ופסק הדין מיום 8.7.20 מצ"ב ומסומן כנספח א'.</w:t>
      </w:r>
    </w:p>
    <w:p>
      <w:pPr>
        <w:bidi/>
        <w:spacing w:after="160" w:before="0" w:line="360" w:lineRule="auto"/>
        <w:ind w:left="567" w:hanging="567"/>
        <w:jc w:val="both"/>
      </w:pPr>
      <w:r>
        <w:rPr>
          <w:rFonts w:ascii="David" w:hAnsi="David" w:cs="David" w:eastAsia="David"/>
          <w:b w:val="0"/>
          <w:i w:val="0"/>
          <w:sz w:val="24"/>
          <w:u w:val="none"/>
          <w:szCs w:val="24"/>
          <w:rtl/>
        </w:rPr>
        <w:t>5.</w:t>
        <w:tab/>
      </w:r>
      <w:r>
        <w:rPr>
          <w:rFonts w:ascii="David" w:hAnsi="David" w:cs="David" w:eastAsia="David"/>
          <w:b w:val="0"/>
          <w:i w:val="0"/>
          <w:sz w:val="24"/>
          <w:u w:val="none"/>
          <w:szCs w:val="24"/>
          <w:rtl/>
        </w:rPr>
        <w:t>הצדדים חיים בפירוד מאז ____________. לא מתנהל ביניהם כל הליך משפטי אחר, וטרם הוגשו תביעות כלשהן בעניין הרכוש, הגירושין או ילדי הצדדים.</w:t>
      </w:r>
    </w:p>
    <w:p>
      <w:pPr>
        <w:bidi/>
        <w:spacing w:after="160" w:before="0" w:line="360" w:lineRule="auto"/>
        <w:ind w:left="567" w:hanging="567"/>
        <w:jc w:val="both"/>
      </w:pPr>
      <w:r>
        <w:rPr>
          <w:rFonts w:ascii="David" w:hAnsi="David" w:cs="David" w:eastAsia="David"/>
          <w:b w:val="0"/>
          <w:i w:val="0"/>
          <w:sz w:val="24"/>
          <w:u w:val="none"/>
          <w:szCs w:val="24"/>
          <w:rtl/>
        </w:rPr>
        <w:t>6.</w:t>
        <w:tab/>
      </w:r>
      <w:r>
        <w:rPr>
          <w:rFonts w:ascii="David" w:hAnsi="David" w:cs="David" w:eastAsia="David"/>
          <w:b w:val="0"/>
          <w:i w:val="0"/>
          <w:sz w:val="24"/>
          <w:u w:val="none"/>
          <w:szCs w:val="24"/>
          <w:rtl/>
        </w:rPr>
        <w:t>בחודשים פברואר-מאי 2026 נחתם בין הצדדים מסמך שכותרתו "הסכם הבהרה", הנושא את התאריכים 26.2.26 ו-21.5.26. המסמך נערך בעברית בידי עו"ד יצחק דסי, אשר הצהיר בפני בית המשפט הנכבד ביום 25.8.26 כי "ערך עבורנו את ההסכם, בתור עורך דין משותף". המסמך קובע, בתמצית, כי כספים בסך של כ-1,337,787 ש"ח שהביא המשיב מחו"ל שייכים לו בלבד, וכי לאישה שייכים כספים בסך של כ-140,000 ש"ח בלבד.</w:t>
      </w:r>
    </w:p>
    <w:p>
      <w:pPr>
        <w:bidi/>
        <w:spacing w:after="160" w:before="0" w:line="360" w:lineRule="auto"/>
        <w:ind w:left="567"/>
        <w:jc w:val="right"/>
      </w:pPr>
      <w:r>
        <w:rPr>
          <w:rFonts w:ascii="David" w:hAnsi="David" w:cs="David" w:eastAsia="David"/>
          <w:b/>
          <w:i w:val="0"/>
          <w:sz w:val="24"/>
          <w:u w:val="none"/>
          <w:szCs w:val="24"/>
          <w:rtl/>
          <w:bCs/>
        </w:rPr>
        <w:t>העתק הסכם ההבהרה מצ"ב ומסומן כנספח ב'.</w:t>
      </w:r>
    </w:p>
    <w:p>
      <w:pPr>
        <w:bidi/>
        <w:spacing w:after="160" w:before="0" w:line="360" w:lineRule="auto"/>
        <w:ind w:left="567" w:hanging="567"/>
        <w:jc w:val="both"/>
      </w:pPr>
      <w:r>
        <w:rPr>
          <w:rFonts w:ascii="David" w:hAnsi="David" w:cs="David" w:eastAsia="David"/>
          <w:b w:val="0"/>
          <w:i w:val="0"/>
          <w:sz w:val="24"/>
          <w:u w:val="none"/>
          <w:szCs w:val="24"/>
          <w:rtl/>
        </w:rPr>
        <w:t>7.</w:t>
        <w:tab/>
      </w:r>
      <w:r>
        <w:rPr>
          <w:rFonts w:ascii="David" w:hAnsi="David" w:cs="David" w:eastAsia="David"/>
          <w:b w:val="0"/>
          <w:i w:val="0"/>
          <w:sz w:val="24"/>
          <w:u w:val="none"/>
          <w:szCs w:val="24"/>
          <w:rtl/>
        </w:rPr>
        <w:t xml:space="preserve">נסיבות החתימה, כמפורט בתצהיר האישה המצורף, הן אלה: המסמך הוצג לאישה במפגש בהשתתפות זקני העדה ("שמגלוץ'"), אשר "הסבירו" לה את תוכנו בקווים כלליים; </w:t>
      </w:r>
      <w:r>
        <w:rPr>
          <w:rFonts w:ascii="David" w:hAnsi="David" w:cs="David" w:eastAsia="David"/>
          <w:b/>
          <w:i w:val="0"/>
          <w:sz w:val="24"/>
          <w:u w:val="none"/>
          <w:szCs w:val="24"/>
          <w:rtl/>
          <w:bCs/>
        </w:rPr>
        <w:t>המסמך לא תורגם לה במלואו, מילה במילה, לשפתה</w:t>
      </w:r>
      <w:r>
        <w:rPr>
          <w:rFonts w:ascii="David" w:hAnsi="David" w:cs="David" w:eastAsia="David"/>
          <w:b w:val="0"/>
          <w:i w:val="0"/>
          <w:sz w:val="24"/>
          <w:u w:val="none"/>
          <w:szCs w:val="24"/>
          <w:rtl/>
        </w:rPr>
        <w:t xml:space="preserve">; איש לא הודיע לה כי היא רשאית להיוועץ בעורך דין מטעמה, ולא הוצע לה לעשות כן; </w:t>
      </w:r>
      <w:r>
        <w:rPr>
          <w:rFonts w:ascii="David" w:hAnsi="David" w:cs="David" w:eastAsia="David"/>
          <w:b/>
          <w:i w:val="0"/>
          <w:sz w:val="24"/>
          <w:u w:val="none"/>
          <w:szCs w:val="24"/>
          <w:rtl/>
          <w:bCs/>
        </w:rPr>
        <w:t>לא הוצג לה כל מסמך בנקאי</w:t>
      </w:r>
      <w:r>
        <w:rPr>
          <w:rFonts w:ascii="David" w:hAnsi="David" w:cs="David" w:eastAsia="David"/>
          <w:b w:val="0"/>
          <w:i w:val="0"/>
          <w:sz w:val="24"/>
          <w:u w:val="none"/>
          <w:szCs w:val="24"/>
          <w:rtl/>
        </w:rPr>
        <w:t xml:space="preserve"> או אחר המבסס את הסכומים הנקובים במסמך; והיא </w:t>
      </w:r>
      <w:r>
        <w:rPr>
          <w:rFonts w:ascii="David" w:hAnsi="David" w:cs="David" w:eastAsia="David"/>
          <w:b/>
          <w:i w:val="0"/>
          <w:sz w:val="24"/>
          <w:u w:val="none"/>
          <w:szCs w:val="24"/>
          <w:rtl/>
          <w:bCs/>
        </w:rPr>
        <w:t>לא הבינה כי בחתימתה היא מוותרת על כל טענה ביחס לסכום העולה על 1.3 מיליון ש"ח</w:t>
      </w:r>
      <w:r>
        <w:rPr>
          <w:rFonts w:ascii="David" w:hAnsi="David" w:cs="David" w:eastAsia="David"/>
          <w:b w:val="0"/>
          <w:i w:val="0"/>
          <w:sz w:val="24"/>
          <w:u w:val="none"/>
          <w:szCs w:val="24"/>
          <w:rtl/>
        </w:rPr>
        <w:t>. האישה חתמה מתוך אמון בזקני העדה ובעורך הדין שהוצג לה כמי שמייצג גם אותה, הא ותו לא.</w:t>
      </w:r>
    </w:p>
    <w:p>
      <w:pPr>
        <w:bidi/>
        <w:spacing w:after="160" w:before="0" w:line="360" w:lineRule="auto"/>
        <w:ind w:left="567" w:hanging="567"/>
        <w:jc w:val="both"/>
      </w:pPr>
      <w:r>
        <w:rPr>
          <w:rFonts w:ascii="David" w:hAnsi="David" w:cs="David" w:eastAsia="David"/>
          <w:b w:val="0"/>
          <w:i w:val="0"/>
          <w:sz w:val="24"/>
          <w:u w:val="none"/>
          <w:szCs w:val="24"/>
          <w:rtl/>
        </w:rPr>
        <w:t>8.</w:t>
        <w:tab/>
      </w:r>
      <w:r>
        <w:rPr>
          <w:rFonts w:ascii="David" w:hAnsi="David" w:cs="David" w:eastAsia="David"/>
          <w:b w:val="0"/>
          <w:i w:val="0"/>
          <w:sz w:val="24"/>
          <w:u w:val="none"/>
          <w:szCs w:val="24"/>
          <w:rtl/>
        </w:rPr>
        <w:t>ביום 19.8.26, כשישה חודשים לאחר החתימה הראשונה, הוגשה לבית המשפט הנכבד בקשה לאישור הסכם ההבהרה. ביום 25.8.26 התקיים דיון, שבמהלכו הצהירה האישה "אני לא יודעת עברית", ונדרש מתורגמן על מנת שתוכל להשיב לשאלות בית המשפט הנכבד. באותו דיון הצהיר עו"ד דסי כי שימש עורך דין משותף לשני הצדדים. בית המשפט הנכבד לא אישר את ההסכם, הותיר את התיק פתוח עד ליום 15.10.26, והתריע כאמור מפני פגיעה בזכויות מי מהצדדים.</w:t>
      </w:r>
    </w:p>
    <w:p>
      <w:pPr>
        <w:bidi/>
        <w:spacing w:after="160" w:before="0" w:line="360" w:lineRule="auto"/>
        <w:ind w:left="567"/>
        <w:jc w:val="right"/>
      </w:pPr>
      <w:r>
        <w:rPr>
          <w:rFonts w:ascii="David" w:hAnsi="David" w:cs="David" w:eastAsia="David"/>
          <w:b/>
          <w:i w:val="0"/>
          <w:sz w:val="24"/>
          <w:u w:val="none"/>
          <w:szCs w:val="24"/>
          <w:rtl/>
          <w:bCs/>
        </w:rPr>
        <w:t>העתק הבקשה לאישור מיום 19.8.26, פרוטוקול הדיון וההחלטה מיום 25.8.26 מצ"ב ומסומנים כנספח ג'.</w:t>
      </w:r>
    </w:p>
    <w:p>
      <w:pPr>
        <w:bidi/>
        <w:spacing w:after="160" w:before="0" w:line="360" w:lineRule="auto"/>
        <w:ind w:left="567" w:hanging="567"/>
        <w:jc w:val="both"/>
      </w:pPr>
      <w:r>
        <w:rPr>
          <w:rFonts w:ascii="David" w:hAnsi="David" w:cs="David" w:eastAsia="David"/>
          <w:b w:val="0"/>
          <w:i w:val="0"/>
          <w:sz w:val="24"/>
          <w:u w:val="none"/>
          <w:szCs w:val="24"/>
          <w:rtl/>
        </w:rPr>
        <w:t>9.</w:t>
        <w:tab/>
      </w:r>
      <w:r>
        <w:rPr>
          <w:rFonts w:ascii="David" w:hAnsi="David" w:cs="David" w:eastAsia="David"/>
          <w:b w:val="0"/>
          <w:i w:val="0"/>
          <w:sz w:val="24"/>
          <w:u w:val="none"/>
          <w:szCs w:val="24"/>
          <w:rtl/>
        </w:rPr>
        <w:t>בעקבות הדיון פנתה האישה, לראשונה, לקבלת ייעוץ משפטי עצמאי. רק לאחר שהסכם ההבהרה תורגם לה במלואו לשפתה, באמצעות מתורגמן, הבינה האישה לראשונה את משמעותו ואת תוצאותיו. האישה הודיעה מיד על הפסקת ייצוגה בידי עו"ד דסי וייפתה את כוח הח"מ.</w:t>
      </w:r>
    </w:p>
    <w:p>
      <w:pPr>
        <w:bidi/>
        <w:spacing w:after="160" w:before="0" w:line="360" w:lineRule="auto"/>
        <w:ind w:left="567"/>
        <w:jc w:val="right"/>
      </w:pPr>
      <w:r>
        <w:rPr>
          <w:rFonts w:ascii="David" w:hAnsi="David" w:cs="David" w:eastAsia="David"/>
          <w:b/>
          <w:i w:val="0"/>
          <w:sz w:val="24"/>
          <w:u w:val="none"/>
          <w:szCs w:val="24"/>
          <w:rtl/>
          <w:bCs/>
        </w:rPr>
        <w:t>העתק ייפוי הכוח והודעת האישה על הפסקת הייצוג מצ"ב ומסומנים כנספח ד'.</w:t>
      </w:r>
    </w:p>
    <w:p>
      <w:pPr>
        <w:keepNext/>
        <w:bidi/>
        <w:spacing w:after="120" w:before="0" w:line="360" w:lineRule="auto"/>
        <w:jc w:val="right"/>
      </w:pPr>
      <w:r>
        <w:rPr>
          <w:rFonts w:ascii="David" w:hAnsi="David" w:cs="David" w:eastAsia="David"/>
          <w:b/>
          <w:i w:val="0"/>
          <w:sz w:val="24"/>
          <w:u w:val="single"/>
          <w:szCs w:val="24"/>
          <w:rtl/>
          <w:bCs/>
        </w:rPr>
        <w:t>ג. המסגרת הנורמטיבית</w:t>
      </w:r>
    </w:p>
    <w:p>
      <w:pPr>
        <w:bidi/>
        <w:spacing w:after="160" w:before="0" w:line="360" w:lineRule="auto"/>
        <w:ind w:left="567" w:hanging="567"/>
        <w:jc w:val="both"/>
      </w:pPr>
      <w:r>
        <w:rPr>
          <w:rFonts w:ascii="David" w:hAnsi="David" w:cs="David" w:eastAsia="David"/>
          <w:b w:val="0"/>
          <w:i w:val="0"/>
          <w:sz w:val="24"/>
          <w:u w:val="none"/>
          <w:szCs w:val="24"/>
          <w:rtl/>
        </w:rPr>
        <w:t>10.</w:t>
        <w:tab/>
      </w:r>
      <w:r>
        <w:rPr>
          <w:rFonts w:ascii="David" w:hAnsi="David" w:cs="David" w:eastAsia="David"/>
          <w:b w:val="0"/>
          <w:i w:val="0"/>
          <w:sz w:val="24"/>
          <w:u w:val="none"/>
          <w:szCs w:val="24"/>
          <w:rtl/>
        </w:rPr>
        <w:t>סעיף 2 לחוק יחסי ממון קובע, בחלקיו הרלוונטיים, כהאי לישנא:</w:t>
      </w:r>
    </w:p>
    <w:p>
      <w:pPr>
        <w:bidi/>
        <w:spacing w:after="160" w:before="0" w:line="276" w:lineRule="auto"/>
        <w:ind w:left="850"/>
        <w:jc w:val="both"/>
      </w:pPr>
      <w:r>
        <w:rPr>
          <w:rFonts w:ascii="David" w:hAnsi="David" w:cs="David" w:eastAsia="David"/>
          <w:b w:val="0"/>
          <w:i w:val="0"/>
          <w:sz w:val="24"/>
          <w:u w:val="none"/>
          <w:szCs w:val="24"/>
          <w:rtl/>
        </w:rPr>
        <w:t>"(א) הסכם ממון טעון אישור בית המשפט לעניני משפחה (להלן - בית המשפט) או בית הדין הדתי שלו סמכות השיפוט בעניני נישואין וגירושין של בני הזוג (להלן - בית הדין), וכן טעון שינוי של הסכם כזה אישור כאמור.</w:t>
      </w:r>
    </w:p>
    <w:p>
      <w:pPr>
        <w:bidi/>
        <w:spacing w:after="160" w:before="0" w:line="276" w:lineRule="auto"/>
        <w:ind w:left="850"/>
        <w:jc w:val="both"/>
      </w:pPr>
      <w:r>
        <w:rPr>
          <w:rFonts w:ascii="David" w:hAnsi="David" w:cs="David" w:eastAsia="David"/>
          <w:b w:val="0"/>
          <w:i w:val="0"/>
          <w:sz w:val="24"/>
          <w:u w:val="none"/>
          <w:szCs w:val="24"/>
          <w:rtl/>
        </w:rPr>
        <w:t>(ב) האישור לא יינתן אלא לאחר שנוכח בית המשפט או בית הדין, שבני הזוג עשו את ההסכם או את השינוי בהסכמה חפשית ובהבינם את משמעותו ואת תוצאותיו."</w:t>
      </w:r>
    </w:p>
    <w:p>
      <w:pPr>
        <w:bidi/>
        <w:spacing w:after="160" w:before="0" w:line="360" w:lineRule="auto"/>
        <w:ind w:left="567" w:hanging="567"/>
        <w:jc w:val="both"/>
      </w:pPr>
      <w:r>
        <w:rPr>
          <w:rFonts w:ascii="David" w:hAnsi="David" w:cs="David" w:eastAsia="David"/>
          <w:b w:val="0"/>
          <w:i w:val="0"/>
          <w:sz w:val="24"/>
          <w:u w:val="none"/>
          <w:szCs w:val="24"/>
          <w:rtl/>
        </w:rPr>
        <w:t>11.</w:t>
        <w:tab/>
      </w:r>
      <w:r>
        <w:rPr>
          <w:rFonts w:ascii="David" w:hAnsi="David" w:cs="David" w:eastAsia="David"/>
          <w:b w:val="0"/>
          <w:i w:val="0"/>
          <w:sz w:val="24"/>
          <w:u w:val="none"/>
          <w:szCs w:val="24"/>
          <w:rtl/>
        </w:rPr>
        <w:t xml:space="preserve">שתי הוראות אלה הן לב העניין דנא. </w:t>
      </w:r>
      <w:r>
        <w:rPr>
          <w:rFonts w:ascii="David" w:hAnsi="David" w:cs="David" w:eastAsia="David"/>
          <w:b/>
          <w:i w:val="0"/>
          <w:sz w:val="24"/>
          <w:u w:val="none"/>
          <w:szCs w:val="24"/>
          <w:rtl/>
          <w:bCs/>
        </w:rPr>
        <w:t>האחת</w:t>
      </w:r>
      <w:r>
        <w:rPr>
          <w:rFonts w:ascii="David" w:hAnsi="David" w:cs="David" w:eastAsia="David"/>
          <w:b w:val="0"/>
          <w:i w:val="0"/>
          <w:sz w:val="24"/>
          <w:u w:val="none"/>
          <w:szCs w:val="24"/>
          <w:rtl/>
        </w:rPr>
        <w:t xml:space="preserve"> - שינוי של הסכם ממון טעון אישור, ממש כהסכם עצמו. </w:t>
      </w:r>
      <w:r>
        <w:rPr>
          <w:rFonts w:ascii="David" w:hAnsi="David" w:cs="David" w:eastAsia="David"/>
          <w:b/>
          <w:i w:val="0"/>
          <w:sz w:val="24"/>
          <w:u w:val="none"/>
          <w:szCs w:val="24"/>
          <w:rtl/>
          <w:bCs/>
        </w:rPr>
        <w:t>השנייה</w:t>
      </w:r>
      <w:r>
        <w:rPr>
          <w:rFonts w:ascii="David" w:hAnsi="David" w:cs="David" w:eastAsia="David"/>
          <w:b w:val="0"/>
          <w:i w:val="0"/>
          <w:sz w:val="24"/>
          <w:u w:val="none"/>
          <w:szCs w:val="24"/>
          <w:rtl/>
        </w:rPr>
        <w:t xml:space="preserve"> - האישור אינו פעולה טכנית; הוא מותנה בכך שבית המשפט </w:t>
      </w:r>
      <w:r>
        <w:rPr>
          <w:rFonts w:ascii="David" w:hAnsi="David" w:cs="David" w:eastAsia="David"/>
          <w:b/>
          <w:i w:val="0"/>
          <w:sz w:val="24"/>
          <w:u w:val="none"/>
          <w:szCs w:val="24"/>
          <w:rtl/>
          <w:bCs/>
        </w:rPr>
        <w:t>"נוכח"</w:t>
      </w:r>
      <w:r>
        <w:rPr>
          <w:rFonts w:ascii="David" w:hAnsi="David" w:cs="David" w:eastAsia="David"/>
          <w:b w:val="0"/>
          <w:i w:val="0"/>
          <w:sz w:val="24"/>
          <w:u w:val="none"/>
          <w:szCs w:val="24"/>
          <w:rtl/>
        </w:rPr>
        <w:t xml:space="preserve"> בהסכמה חופשית ובהבנה. הנטל להניח את דעת בית המשפט מוטל על מי שמבקש את האישור, ולא על מי שמתנגד לו.</w:t>
      </w:r>
    </w:p>
    <w:p>
      <w:pPr>
        <w:bidi/>
        <w:spacing w:after="160" w:before="0" w:line="360" w:lineRule="auto"/>
        <w:ind w:left="567" w:hanging="567"/>
        <w:jc w:val="both"/>
      </w:pPr>
      <w:r>
        <w:rPr>
          <w:rFonts w:ascii="David" w:hAnsi="David" w:cs="David" w:eastAsia="David"/>
          <w:b w:val="0"/>
          <w:i w:val="0"/>
          <w:sz w:val="24"/>
          <w:u w:val="none"/>
          <w:szCs w:val="24"/>
          <w:rtl/>
        </w:rPr>
        <w:t>12.</w:t>
        <w:tab/>
      </w:r>
      <w:r>
        <w:rPr>
          <w:rFonts w:ascii="David" w:hAnsi="David" w:cs="David" w:eastAsia="David"/>
          <w:b w:val="0"/>
          <w:i w:val="0"/>
          <w:sz w:val="24"/>
          <w:u w:val="none"/>
          <w:szCs w:val="24"/>
          <w:rtl/>
        </w:rPr>
        <w:t>הלכה פסוקה היא, מקדמת דנא, כי הסכם ממון שלא אושר כדין - אין לו תוקף. יפים לעניין זה דבריו של בית המשפט העליון בעניין מונק נ' מונק, כהאי לישנא:</w:t>
      </w:r>
    </w:p>
    <w:p>
      <w:pPr>
        <w:bidi/>
        <w:spacing w:after="160" w:before="0" w:line="276" w:lineRule="auto"/>
        <w:ind w:left="850"/>
        <w:jc w:val="both"/>
      </w:pPr>
      <w:r>
        <w:rPr>
          <w:rFonts w:ascii="David" w:hAnsi="David" w:cs="David" w:eastAsia="David"/>
          <w:b w:val="0"/>
          <w:i w:val="0"/>
          <w:sz w:val="24"/>
          <w:u w:val="none"/>
          <w:szCs w:val="24"/>
          <w:rtl/>
        </w:rPr>
        <w:t>"בשל היחסים המיוחדים, העדינים והמורכבים הקיימים בין בעל ואישה, קבע המחוקק כי אין תוקף להסכם ממון ביניהם, אלא אם כן משתכנעת ערכאה שיפוטית שההסכם נעשה מתוך רצון חופשי, ללא לחץ, וששני הצדדים הבינו בדיוק במה מדובר ומהן התוצאות האפשריות של חתימתם על אותו הסכם."</w:t>
      </w:r>
    </w:p>
    <w:p>
      <w:pPr>
        <w:bidi/>
        <w:spacing w:after="160" w:before="0" w:line="276" w:lineRule="auto"/>
        <w:ind w:left="850"/>
        <w:jc w:val="right"/>
      </w:pPr>
      <w:r>
        <w:rPr>
          <w:rFonts w:ascii="David" w:hAnsi="David" w:cs="David" w:eastAsia="David"/>
          <w:b w:val="0"/>
          <w:i w:val="0"/>
          <w:sz w:val="24"/>
          <w:u w:val="none"/>
          <w:szCs w:val="24"/>
          <w:rtl/>
        </w:rPr>
        <w:t>[ההדגשה של הח"מ; ר' ע"א 4/80 מונק נ' מונק, פ"ד לו(3) 421 (1982); וכן ע"א 169/83 שי נ' שי, פ"ד לט(3) 776 (1985)]</w:t>
      </w:r>
    </w:p>
    <w:p>
      <w:pPr>
        <w:bidi/>
        <w:spacing w:after="160" w:before="0" w:line="360" w:lineRule="auto"/>
        <w:ind w:left="567" w:hanging="567"/>
        <w:jc w:val="both"/>
      </w:pPr>
      <w:r>
        <w:rPr>
          <w:rFonts w:ascii="David" w:hAnsi="David" w:cs="David" w:eastAsia="David"/>
          <w:b w:val="0"/>
          <w:i w:val="0"/>
          <w:sz w:val="24"/>
          <w:u w:val="none"/>
          <w:szCs w:val="24"/>
          <w:rtl/>
        </w:rPr>
        <w:t>13.</w:t>
        <w:tab/>
      </w:r>
      <w:r>
        <w:rPr>
          <w:rFonts w:ascii="David" w:hAnsi="David" w:cs="David" w:eastAsia="David"/>
          <w:b w:val="0"/>
          <w:i w:val="0"/>
          <w:sz w:val="24"/>
          <w:u w:val="none"/>
          <w:szCs w:val="24"/>
          <w:rtl/>
        </w:rPr>
        <w:t xml:space="preserve">מכאן נגזרת המסקנה הראשונה והמכרעת: </w:t>
      </w:r>
      <w:r>
        <w:rPr>
          <w:rFonts w:ascii="David" w:hAnsi="David" w:cs="David" w:eastAsia="David"/>
          <w:b/>
          <w:i w:val="0"/>
          <w:sz w:val="24"/>
          <w:u w:val="none"/>
          <w:szCs w:val="24"/>
          <w:rtl/>
          <w:bCs/>
        </w:rPr>
        <w:t>כל עוד לא אושר השינוי, אין הוא אלא הצעה להסכמה, וכל צד רשאי לחזור בו ממנה.</w:t>
      </w:r>
      <w:r>
        <w:rPr>
          <w:rFonts w:ascii="David" w:hAnsi="David" w:cs="David" w:eastAsia="David"/>
          <w:b w:val="0"/>
          <w:i w:val="0"/>
          <w:sz w:val="24"/>
          <w:u w:val="none"/>
          <w:szCs w:val="24"/>
          <w:rtl/>
        </w:rPr>
        <w:t xml:space="preserve"> בית המשפט מאשר "הסכם" - מפגש רצונות קיים ועומד במועד האישור. מקום שאחד הצדדים הודיע, קודם לאישור, כי אינו מסכים עוד, אין עוד מפגש רצונות ואין מה לאשר. זהו הדין בהסכמי פשרה בטרם ניתן להם תוקף של פסק דין, וקל וחומר שזהו הדין בהסכם ממון, שהמחוקק עצמו קבע כי "אין תוקף" לו בלא אישור.</w:t>
      </w:r>
    </w:p>
    <w:p>
      <w:pPr>
        <w:bidi/>
        <w:spacing w:after="160" w:before="0" w:line="360" w:lineRule="auto"/>
        <w:ind w:left="567" w:hanging="567"/>
        <w:jc w:val="both"/>
      </w:pPr>
      <w:r>
        <w:rPr>
          <w:rFonts w:ascii="David" w:hAnsi="David" w:cs="David" w:eastAsia="David"/>
          <w:b w:val="0"/>
          <w:i w:val="0"/>
          <w:sz w:val="24"/>
          <w:u w:val="none"/>
          <w:szCs w:val="24"/>
          <w:rtl/>
        </w:rPr>
        <w:t>14.</w:t>
        <w:tab/>
      </w:r>
      <w:r>
        <w:rPr>
          <w:rFonts w:ascii="David" w:hAnsi="David" w:cs="David" w:eastAsia="David"/>
          <w:b w:val="0"/>
          <w:i w:val="0"/>
          <w:sz w:val="24"/>
          <w:u w:val="none"/>
          <w:szCs w:val="24"/>
          <w:rtl/>
        </w:rPr>
        <w:t xml:space="preserve">ויודגש: הפסיקה שהכירה, בנסיבות חריגות, בתוקפו של הסכם ממון בלתי מאושר מכוח דיני החוזים הכלליים, עשתה כן מקום שהצדדים </w:t>
      </w:r>
      <w:r>
        <w:rPr>
          <w:rFonts w:ascii="David" w:hAnsi="David" w:cs="David" w:eastAsia="David"/>
          <w:b/>
          <w:i w:val="0"/>
          <w:sz w:val="24"/>
          <w:u w:val="none"/>
          <w:szCs w:val="24"/>
          <w:rtl/>
          <w:bCs/>
        </w:rPr>
        <w:t>קיימו</w:t>
      </w:r>
      <w:r>
        <w:rPr>
          <w:rFonts w:ascii="David" w:hAnsi="David" w:cs="David" w:eastAsia="David"/>
          <w:b w:val="0"/>
          <w:i w:val="0"/>
          <w:sz w:val="24"/>
          <w:u w:val="none"/>
          <w:szCs w:val="24"/>
          <w:rtl/>
        </w:rPr>
        <w:t xml:space="preserve"> אותו בפועל במשך שנים. אין זה המצב דנא: הסכם ההבהרה לא קוים, לא בוצעה על פיו כל פעולה, ובין הצדדים עומד הסכם ממון מאושר משנת 2020 שהוראותיו הן המחייבות.</w:t>
      </w:r>
    </w:p>
    <w:p>
      <w:pPr>
        <w:bidi/>
        <w:spacing w:after="160" w:before="0" w:line="360" w:lineRule="auto"/>
        <w:ind w:left="567" w:hanging="567"/>
        <w:jc w:val="both"/>
      </w:pPr>
      <w:r>
        <w:rPr>
          <w:rFonts w:ascii="David" w:hAnsi="David" w:cs="David" w:eastAsia="David"/>
          <w:b w:val="0"/>
          <w:i w:val="0"/>
          <w:sz w:val="24"/>
          <w:u w:val="none"/>
          <w:szCs w:val="24"/>
          <w:rtl/>
        </w:rPr>
        <w:t>15.</w:t>
        <w:tab/>
      </w:r>
      <w:r>
        <w:rPr>
          <w:rFonts w:ascii="David" w:hAnsi="David" w:cs="David" w:eastAsia="David"/>
          <w:b w:val="0"/>
          <w:i w:val="0"/>
          <w:sz w:val="24"/>
          <w:u w:val="none"/>
          <w:szCs w:val="24"/>
          <w:rtl/>
        </w:rPr>
        <w:t xml:space="preserve">המסקנה השנייה נוגעת למהות הבדיקה שבסעיף 2(ב). בית המשפט נדרש להיווכח </w:t>
      </w:r>
      <w:r>
        <w:rPr>
          <w:rFonts w:ascii="David" w:hAnsi="David" w:cs="David" w:eastAsia="David"/>
          <w:b/>
          <w:i w:val="0"/>
          <w:sz w:val="24"/>
          <w:u w:val="none"/>
          <w:szCs w:val="24"/>
          <w:rtl/>
          <w:bCs/>
        </w:rPr>
        <w:t>פוזיטיבית</w:t>
      </w:r>
      <w:r>
        <w:rPr>
          <w:rFonts w:ascii="David" w:hAnsi="David" w:cs="David" w:eastAsia="David"/>
          <w:b w:val="0"/>
          <w:i w:val="0"/>
          <w:sz w:val="24"/>
          <w:u w:val="none"/>
          <w:szCs w:val="24"/>
          <w:rtl/>
        </w:rPr>
        <w:t xml:space="preserve"> בהסכמה חופשית ובהבנה. הבדיקה אינה טקסית, והיא מחמירה שבעתיים מקום שאחד הצדדים נמצא בעמדת נחיתות מבנית: פערי שפה, פערי השכלה, היעדר ייצוג עצמאי, או תוצאה חד-צדדית באופן בולט. בית המשפט העליון הבהיר כי תכלית דרישת האישור היא בדיוק ההגנה על הצד החלש בתוך מערכת היחסים הזוגית, וכי חתימה לבדה - בלא הבנה - אינה הסכמה [ר' עניין מונק לעיל; וכן עמ"ש (מחוזי מרכז) 69758-03-22 פלוני נ' פלונית (2022), שם נדונה חובת בית המשפט לתעד את התקיימות תנאי סעיף 2(ב)].</w:t>
      </w:r>
    </w:p>
    <w:p>
      <w:pPr>
        <w:bidi/>
        <w:spacing w:after="160" w:before="0" w:line="360" w:lineRule="auto"/>
        <w:ind w:left="567" w:hanging="567"/>
        <w:jc w:val="both"/>
      </w:pPr>
      <w:r>
        <w:rPr>
          <w:rFonts w:ascii="David" w:hAnsi="David" w:cs="David" w:eastAsia="David"/>
          <w:b w:val="0"/>
          <w:i w:val="0"/>
          <w:sz w:val="24"/>
          <w:u w:val="none"/>
          <w:szCs w:val="24"/>
          <w:rtl/>
        </w:rPr>
        <w:t>16.</w:t>
        <w:tab/>
      </w:r>
      <w:r>
        <w:rPr>
          <w:rFonts w:ascii="David" w:hAnsi="David" w:cs="David" w:eastAsia="David"/>
          <w:b w:val="0"/>
          <w:i w:val="0"/>
          <w:sz w:val="24"/>
          <w:u w:val="none"/>
          <w:szCs w:val="24"/>
          <w:rtl/>
        </w:rPr>
        <w:t xml:space="preserve">לעניין הייצוג המשותף: כלל 14 לכללי לשכת עורכי הדין (אתיקה מקצועית), התשמ"ו-1986, אוסר על עורך דין לייצג צדדים בעלי אינטרסים מנוגדים באותו עניין. אמנם הכללים מתירים עריכת הסכם בידי עורך דין אחד מקום שהצדדים </w:t>
      </w:r>
      <w:r>
        <w:rPr>
          <w:rFonts w:ascii="David" w:hAnsi="David" w:cs="David" w:eastAsia="David"/>
          <w:b/>
          <w:i w:val="0"/>
          <w:sz w:val="24"/>
          <w:u w:val="none"/>
          <w:szCs w:val="24"/>
          <w:rtl/>
          <w:bCs/>
        </w:rPr>
        <w:t>הסכימו לכך בכתב</w:t>
      </w:r>
      <w:r>
        <w:rPr>
          <w:rFonts w:ascii="David" w:hAnsi="David" w:cs="David" w:eastAsia="David"/>
          <w:b w:val="0"/>
          <w:i w:val="0"/>
          <w:sz w:val="24"/>
          <w:u w:val="none"/>
          <w:szCs w:val="24"/>
          <w:rtl/>
        </w:rPr>
        <w:t xml:space="preserve"> - ואולם, ראשית, לא הוצגה כל הסכמה כתובה כזו מצד האישה, ולמצער לא הסכמה שתורגמה לה והוסברה לה; ושנית, וזה העיקר - גם ייצוג משותף מותר אינו תחליף </w:t>
      </w:r>
      <w:r>
        <w:rPr>
          <w:rFonts w:ascii="David" w:hAnsi="David" w:cs="David" w:eastAsia="David"/>
          <w:b/>
          <w:i w:val="0"/>
          <w:sz w:val="24"/>
          <w:u w:val="none"/>
          <w:szCs w:val="24"/>
          <w:rtl/>
          <w:bCs/>
        </w:rPr>
        <w:t>לייעוץ עצמאי</w:t>
      </w:r>
      <w:r>
        <w:rPr>
          <w:rFonts w:ascii="David" w:hAnsi="David" w:cs="David" w:eastAsia="David"/>
          <w:b w:val="0"/>
          <w:i w:val="0"/>
          <w:sz w:val="24"/>
          <w:u w:val="none"/>
          <w:szCs w:val="24"/>
          <w:rtl/>
        </w:rPr>
        <w:t>. עורך דין המשרת את שני הצדדים אינו יכול, מעצם הגדרת תפקידו, להמליץ לאחד מהם שלא לחתום. מקום שהמסמך מקנה לצד אחד כ-1.34 מיליון ש"ח ולצד השני כ-140 אלף ש"ח, ניגוד העניינים אינו תיאורטי אלא מובנה, והיעדר ייעוץ עצמאי הוא נתון שבית המשפט חייב לשקול במסגרת סעיף 2(ב).</w:t>
      </w:r>
    </w:p>
    <w:p>
      <w:pPr>
        <w:bidi/>
        <w:spacing w:after="160" w:before="0" w:line="360" w:lineRule="auto"/>
        <w:ind w:left="567" w:hanging="567"/>
        <w:jc w:val="both"/>
      </w:pPr>
      <w:r>
        <w:rPr>
          <w:rFonts w:ascii="David" w:hAnsi="David" w:cs="David" w:eastAsia="David"/>
          <w:b w:val="0"/>
          <w:i w:val="0"/>
          <w:sz w:val="24"/>
          <w:u w:val="none"/>
          <w:szCs w:val="24"/>
          <w:rtl/>
        </w:rPr>
        <w:t>17.</w:t>
        <w:tab/>
      </w:r>
      <w:r>
        <w:rPr>
          <w:rFonts w:ascii="David" w:hAnsi="David" w:cs="David" w:eastAsia="David"/>
          <w:b w:val="0"/>
          <w:i w:val="0"/>
          <w:sz w:val="24"/>
          <w:u w:val="none"/>
          <w:szCs w:val="24"/>
          <w:rtl/>
        </w:rPr>
        <w:t>לשלמות התמונה: פגמים אלה מקימים לאישה גם עילות מכוח חוק החוזים (חלק כללי), התשל"ג-1973 - טעות (סעיף 14), הטעיה לרבות אי-גילוי (סעיף 15), עושק (סעיף 18) והפרת חובת תום הלב במשא ומתן (סעיף 12). האישה שומרת על זכותה להעלותן בהליך נפרד; ואולם לצורך הבקשה דנא אין צורך להידרש להן, שכן סעיף 2 לחוק יחסי ממון מכריע את הכף לבדו.</w:t>
      </w:r>
    </w:p>
    <w:p>
      <w:pPr>
        <w:keepNext/>
        <w:bidi/>
        <w:spacing w:after="120" w:before="0" w:line="360" w:lineRule="auto"/>
        <w:jc w:val="right"/>
      </w:pPr>
      <w:r>
        <w:rPr>
          <w:rFonts w:ascii="David" w:hAnsi="David" w:cs="David" w:eastAsia="David"/>
          <w:b/>
          <w:i w:val="0"/>
          <w:sz w:val="24"/>
          <w:u w:val="single"/>
          <w:szCs w:val="24"/>
          <w:rtl/>
          <w:bCs/>
        </w:rPr>
        <w:t>ד. מן הכלל אל הפרט</w:t>
      </w:r>
    </w:p>
    <w:p>
      <w:pPr>
        <w:bidi/>
        <w:spacing w:after="160" w:before="0" w:line="360" w:lineRule="auto"/>
        <w:ind w:left="567" w:hanging="567"/>
        <w:jc w:val="both"/>
      </w:pPr>
      <w:r>
        <w:rPr>
          <w:rFonts w:ascii="David" w:hAnsi="David" w:cs="David" w:eastAsia="David"/>
          <w:b w:val="0"/>
          <w:i w:val="0"/>
          <w:sz w:val="24"/>
          <w:u w:val="none"/>
          <w:szCs w:val="24"/>
          <w:rtl/>
        </w:rPr>
        <w:t>18.</w:t>
        <w:tab/>
      </w:r>
      <w:r>
        <w:rPr>
          <w:rFonts w:ascii="David" w:hAnsi="David" w:cs="David" w:eastAsia="David"/>
          <w:b/>
          <w:i w:val="0"/>
          <w:sz w:val="24"/>
          <w:u w:val="none"/>
          <w:szCs w:val="24"/>
          <w:rtl/>
          <w:bCs/>
        </w:rPr>
        <w:t xml:space="preserve">ראשית - החזרה מן ההסכמה. </w:t>
      </w:r>
      <w:r>
        <w:rPr>
          <w:rFonts w:ascii="David" w:hAnsi="David" w:cs="David" w:eastAsia="David"/>
          <w:b w:val="0"/>
          <w:i w:val="0"/>
          <w:sz w:val="24"/>
          <w:u w:val="none"/>
          <w:szCs w:val="24"/>
          <w:rtl/>
        </w:rPr>
        <w:t>האישה הודיעה, בהודעה זו ובתצהירה, כי אינה מסכימה להסכם ההבהרה. ההודעה ניתנה קודם לאישור, בתוך המועד שקבע בית המשפט הנכבד, ולאחר שהתיק הושאר פתוח דווקא כדי לאפשר לצדדים לשקול את עמדתם. די בכך, כשלעצמו, כדי לדחות את הבקשה לאישור. בית המשפט הנכבד אינו יכול, ואינו רשאי, לאשר בשם האישה הסכמה שהאישה מודיעה כי אינה נותנת.</w:t>
      </w:r>
    </w:p>
    <w:p>
      <w:pPr>
        <w:bidi/>
        <w:spacing w:after="160" w:before="0" w:line="360" w:lineRule="auto"/>
        <w:ind w:left="567" w:hanging="567"/>
        <w:jc w:val="both"/>
      </w:pPr>
      <w:r>
        <w:rPr>
          <w:rFonts w:ascii="David" w:hAnsi="David" w:cs="David" w:eastAsia="David"/>
          <w:b w:val="0"/>
          <w:i w:val="0"/>
          <w:sz w:val="24"/>
          <w:u w:val="none"/>
          <w:szCs w:val="24"/>
          <w:rtl/>
        </w:rPr>
        <w:t>19.</w:t>
        <w:tab/>
      </w:r>
      <w:r>
        <w:rPr>
          <w:rFonts w:ascii="David" w:hAnsi="David" w:cs="David" w:eastAsia="David"/>
          <w:b/>
          <w:i w:val="0"/>
          <w:sz w:val="24"/>
          <w:u w:val="none"/>
          <w:szCs w:val="24"/>
          <w:rtl/>
          <w:bCs/>
        </w:rPr>
        <w:t xml:space="preserve">שנית - ולחלופין - תנאי סעיף 2(ב) אינם מתקיימים. </w:t>
      </w:r>
      <w:r>
        <w:rPr>
          <w:rFonts w:ascii="David" w:hAnsi="David" w:cs="David" w:eastAsia="David"/>
          <w:b w:val="0"/>
          <w:i w:val="0"/>
          <w:sz w:val="24"/>
          <w:u w:val="none"/>
          <w:szCs w:val="24"/>
          <w:rtl/>
        </w:rPr>
        <w:t>גם אילו ביקש המשיב לטעון כי החזרה מן ההסכמה אינה אפשרית - וטענה כזו אין לה על מה שתסמוך - הרי שבית המשפט הנכבד ממילא אינו יכול להיווכח בהסכמה חופשית ובהבנה. הפגמים הם מצטברים, וכל אחד מהם די בו לבדו: (1) האישה אינה קוראת ואינה דוברת עברית, והמסמך נוסח בעברית; (2) המסמך לא תורגם לה במלואו, ו"הסבר" כללי מפי זקני עדה, שאינם משפטנים ואינם מתורגמנים, אינו תחליף לתרגום ולייעוץ; (3) האישה לא ידעה כי היא רשאית להיוועץ בעורך דין מטעמה, ואיש לא אמר לה זאת; (4) עורך הדין היחיד שנכח היה עורך דינו של המשיב באותה מידה שהיה עורך דינה, ועל כן לא יכול היה להעניק לה ייעוץ עצמאי; (5) לא הוצג לאישה כל מסמך המבסס את הסכומים, והיא לא הבינה את היקפם ואת משמעות הוויתור עליהם.</w:t>
      </w:r>
    </w:p>
    <w:p>
      <w:pPr>
        <w:bidi/>
        <w:spacing w:after="160" w:before="0" w:line="360" w:lineRule="auto"/>
        <w:ind w:left="567" w:hanging="567"/>
        <w:jc w:val="both"/>
      </w:pPr>
      <w:r>
        <w:rPr>
          <w:rFonts w:ascii="David" w:hAnsi="David" w:cs="David" w:eastAsia="David"/>
          <w:b w:val="0"/>
          <w:i w:val="0"/>
          <w:sz w:val="24"/>
          <w:u w:val="none"/>
          <w:szCs w:val="24"/>
          <w:rtl/>
        </w:rPr>
        <w:t>20.</w:t>
        <w:tab/>
      </w:r>
      <w:r>
        <w:rPr>
          <w:rFonts w:ascii="David" w:hAnsi="David" w:cs="David" w:eastAsia="David"/>
          <w:b/>
          <w:i w:val="0"/>
          <w:sz w:val="24"/>
          <w:u w:val="none"/>
          <w:szCs w:val="24"/>
          <w:rtl/>
          <w:bCs/>
        </w:rPr>
        <w:t xml:space="preserve">שלישית - הכותרת "הבהרה" מטעה. </w:t>
      </w:r>
      <w:r>
        <w:rPr>
          <w:rFonts w:ascii="David" w:hAnsi="David" w:cs="David" w:eastAsia="David"/>
          <w:b w:val="0"/>
          <w:i w:val="0"/>
          <w:sz w:val="24"/>
          <w:u w:val="none"/>
          <w:szCs w:val="24"/>
          <w:rtl/>
        </w:rPr>
        <w:t>מסמך המקצה לצד אחד כ-1.34 מיליון ש"ח ולצד השני כ-140 אלף ש"ח אינו "מבהיר" את הסכם 2020 - הוא קובע חלוקה. זהו שינוי במובן סעיף 2(א), על כל המשתמע מכך. בית המשפט הנכבד עצמו זיהה את הקושי בנוסח כבר ביום 25.8.26, ואף התריע מפני פגיעה בזכויות. משהאישה, לאחר ייעוץ עצמאי, מבקשת להימנע מאותה פגיעה ממש - מן הדין ומן הצדק להיעתר לה.</w:t>
      </w:r>
    </w:p>
    <w:p>
      <w:pPr>
        <w:bidi/>
        <w:spacing w:after="160" w:before="0" w:line="360" w:lineRule="auto"/>
        <w:ind w:left="567" w:hanging="567"/>
        <w:jc w:val="both"/>
      </w:pPr>
      <w:r>
        <w:rPr>
          <w:rFonts w:ascii="David" w:hAnsi="David" w:cs="David" w:eastAsia="David"/>
          <w:b w:val="0"/>
          <w:i w:val="0"/>
          <w:sz w:val="24"/>
          <w:u w:val="none"/>
          <w:szCs w:val="24"/>
          <w:rtl/>
        </w:rPr>
        <w:t>21.</w:t>
        <w:tab/>
      </w:r>
      <w:r>
        <w:rPr>
          <w:rFonts w:ascii="David" w:hAnsi="David" w:cs="David" w:eastAsia="David"/>
          <w:b/>
          <w:i w:val="0"/>
          <w:sz w:val="24"/>
          <w:u w:val="none"/>
          <w:szCs w:val="24"/>
          <w:rtl/>
          <w:bCs/>
        </w:rPr>
        <w:t xml:space="preserve">רביעית - הטענה הצפויה מן הצד שכנגד. </w:t>
      </w:r>
      <w:r>
        <w:rPr>
          <w:rFonts w:ascii="David" w:hAnsi="David" w:cs="David" w:eastAsia="David"/>
          <w:b w:val="0"/>
          <w:i w:val="0"/>
          <w:sz w:val="24"/>
          <w:u w:val="none"/>
          <w:szCs w:val="24"/>
          <w:rtl/>
        </w:rPr>
        <w:t>המשיב יטען, מן הסתם, כי האישה חתמה מרצונה וכי זקני העדה הסבירו לה את המסמך. ודוק; חתימה אינה הסכמה, וזו בדיוק הסיבה שהמחוקק שלל תוקף מהסכם ממון חתום כל עוד לא נוכח בית המשפט בהבנה. המחוקק לא הסתפק בחתימה, בעדים או בעורך דין - הוא דרש שערכאה שיפוטית תיווכח בעצמה. חתימתה של אישה שאינה קוראת את השפה שבה נכתב המסמך, בלא תרגום מלא ובלא ייעוץ עצמאי, היא המקרה המובהק שבשבילו נחקק סעיף 2(ב).</w:t>
      </w:r>
    </w:p>
    <w:p>
      <w:pPr>
        <w:bidi/>
        <w:spacing w:after="160" w:before="0" w:line="360" w:lineRule="auto"/>
        <w:ind w:left="567" w:hanging="567"/>
        <w:jc w:val="both"/>
      </w:pPr>
      <w:r>
        <w:rPr>
          <w:rFonts w:ascii="David" w:hAnsi="David" w:cs="David" w:eastAsia="David"/>
          <w:b w:val="0"/>
          <w:i w:val="0"/>
          <w:sz w:val="24"/>
          <w:u w:val="none"/>
          <w:szCs w:val="24"/>
          <w:rtl/>
        </w:rPr>
        <w:t>22.</w:t>
        <w:tab/>
      </w:r>
      <w:r>
        <w:rPr>
          <w:rFonts w:ascii="David" w:hAnsi="David" w:cs="David" w:eastAsia="David"/>
          <w:b/>
          <w:i w:val="0"/>
          <w:sz w:val="24"/>
          <w:u w:val="none"/>
          <w:szCs w:val="24"/>
          <w:rtl/>
          <w:bCs/>
        </w:rPr>
        <w:t xml:space="preserve">חמישית - לחלופי חלופין. </w:t>
      </w:r>
      <w:r>
        <w:rPr>
          <w:rFonts w:ascii="David" w:hAnsi="David" w:cs="David" w:eastAsia="David"/>
          <w:b w:val="0"/>
          <w:i w:val="0"/>
          <w:sz w:val="24"/>
          <w:u w:val="none"/>
          <w:szCs w:val="24"/>
          <w:rtl/>
        </w:rPr>
        <w:t>ככל שבית המשפט הנכבד יסבור, חרף כל האמור, כי יש להמשיך ולברר את הבקשה לאישור, אין הדבר יכול להיעשות בלא דיון הוכחות שבו ייחקרו עו"ד דסי וזקני העדה שנכחו במעמד החתימה על נסיבות ההסבר והתרגום; בלא מתורגמן מוסמך לשפתה של האישה בכל דיון; ובלא שיומצאו לאישה, קודם לכן, דפי החשבון והמסמכים שעליהם נסמכים הסכומים שבהסכם ההבהרה. לא ניתן לבחון "הבנה" של מסמך בלא שהצד הטוען להבנה יראה תחילה מה בדיוק היה על הצד השני להבין.</w:t>
      </w:r>
    </w:p>
    <w:p>
      <w:pPr>
        <w:keepNext/>
        <w:bidi/>
        <w:spacing w:after="120" w:before="0" w:line="360" w:lineRule="auto"/>
        <w:jc w:val="right"/>
      </w:pPr>
      <w:r>
        <w:rPr>
          <w:rFonts w:ascii="David" w:hAnsi="David" w:cs="David" w:eastAsia="David"/>
          <w:b/>
          <w:i w:val="0"/>
          <w:sz w:val="24"/>
          <w:u w:val="single"/>
          <w:szCs w:val="24"/>
          <w:rtl/>
          <w:bCs/>
        </w:rPr>
        <w:t>ה. סיכום</w:t>
      </w:r>
    </w:p>
    <w:p>
      <w:pPr>
        <w:bidi/>
        <w:spacing w:after="160" w:before="0" w:line="360" w:lineRule="auto"/>
        <w:ind w:left="567" w:hanging="567"/>
        <w:jc w:val="both"/>
      </w:pPr>
      <w:r>
        <w:rPr>
          <w:rFonts w:ascii="David" w:hAnsi="David" w:cs="David" w:eastAsia="David"/>
          <w:b w:val="0"/>
          <w:i w:val="0"/>
          <w:sz w:val="24"/>
          <w:u w:val="none"/>
          <w:szCs w:val="24"/>
          <w:rtl/>
        </w:rPr>
        <w:t>23.</w:t>
        <w:tab/>
      </w:r>
      <w:r>
        <w:rPr>
          <w:rFonts w:ascii="David" w:hAnsi="David" w:cs="David" w:eastAsia="David"/>
          <w:b w:val="0"/>
          <w:i w:val="0"/>
          <w:sz w:val="24"/>
          <w:u w:val="none"/>
          <w:szCs w:val="24"/>
          <w:rtl/>
        </w:rPr>
        <w:t>הסכם ההבהרה הוא שינוי של הסכם ממון; שינוי כזה טעון אישור; אישור לא ניתן; ומשכך אין לו תוקף.</w:t>
      </w:r>
    </w:p>
    <w:p>
      <w:pPr>
        <w:bidi/>
        <w:spacing w:after="160" w:before="0" w:line="360" w:lineRule="auto"/>
        <w:ind w:left="567" w:hanging="567"/>
        <w:jc w:val="both"/>
      </w:pPr>
      <w:r>
        <w:rPr>
          <w:rFonts w:ascii="David" w:hAnsi="David" w:cs="David" w:eastAsia="David"/>
          <w:b w:val="0"/>
          <w:i w:val="0"/>
          <w:sz w:val="24"/>
          <w:u w:val="none"/>
          <w:szCs w:val="24"/>
          <w:rtl/>
        </w:rPr>
        <w:t>24.</w:t>
        <w:tab/>
      </w:r>
      <w:r>
        <w:rPr>
          <w:rFonts w:ascii="David" w:hAnsi="David" w:cs="David" w:eastAsia="David"/>
          <w:b w:val="0"/>
          <w:i w:val="0"/>
          <w:sz w:val="24"/>
          <w:u w:val="none"/>
          <w:szCs w:val="24"/>
          <w:rtl/>
        </w:rPr>
        <w:t>האישה חזרה בה מהסכמתה קודם לאישור ובתוך המועד שקבע בית המשפט הנכבד. אין עוד הסכם לאשר.</w:t>
      </w:r>
    </w:p>
    <w:p>
      <w:pPr>
        <w:bidi/>
        <w:spacing w:after="160" w:before="0" w:line="360" w:lineRule="auto"/>
        <w:ind w:left="567" w:hanging="567"/>
        <w:jc w:val="both"/>
      </w:pPr>
      <w:r>
        <w:rPr>
          <w:rFonts w:ascii="David" w:hAnsi="David" w:cs="David" w:eastAsia="David"/>
          <w:b w:val="0"/>
          <w:i w:val="0"/>
          <w:sz w:val="24"/>
          <w:u w:val="none"/>
          <w:szCs w:val="24"/>
          <w:rtl/>
        </w:rPr>
        <w:t>25.</w:t>
        <w:tab/>
      </w:r>
      <w:r>
        <w:rPr>
          <w:rFonts w:ascii="David" w:hAnsi="David" w:cs="David" w:eastAsia="David"/>
          <w:b w:val="0"/>
          <w:i w:val="0"/>
          <w:sz w:val="24"/>
          <w:u w:val="none"/>
          <w:szCs w:val="24"/>
          <w:rtl/>
        </w:rPr>
        <w:t>לחלופין - האישה אינה דוברת עברית, המסמך לא תורגם לה במלואו, לא היה לה ייעוץ עצמאי, לא נאמר לה כי היא זכאית לו, ולא הבינה את הסכומים. תנאי סעיף 2(ב) אינם מתקיימים.</w:t>
      </w:r>
    </w:p>
    <w:p>
      <w:pPr>
        <w:bidi/>
        <w:spacing w:after="160" w:before="0" w:line="360" w:lineRule="auto"/>
        <w:ind w:left="567" w:hanging="567"/>
        <w:jc w:val="both"/>
      </w:pPr>
      <w:r>
        <w:rPr>
          <w:rFonts w:ascii="David" w:hAnsi="David" w:cs="David" w:eastAsia="David"/>
          <w:b w:val="0"/>
          <w:i w:val="0"/>
          <w:sz w:val="24"/>
          <w:u w:val="none"/>
          <w:szCs w:val="24"/>
          <w:rtl/>
        </w:rPr>
        <w:t>26.</w:t>
        <w:tab/>
      </w:r>
      <w:r>
        <w:rPr>
          <w:rFonts w:ascii="David" w:hAnsi="David" w:cs="David" w:eastAsia="David"/>
          <w:b w:val="0"/>
          <w:i w:val="0"/>
          <w:sz w:val="24"/>
          <w:u w:val="none"/>
          <w:szCs w:val="24"/>
          <w:rtl/>
        </w:rPr>
        <w:t>הסכם 2020, שאושר כדין, הוא ההסדר המחייב היחיד בין הצדדים.</w:t>
      </w:r>
    </w:p>
    <w:p>
      <w:pPr>
        <w:bidi/>
        <w:spacing w:after="120" w:before="0" w:line="360" w:lineRule="auto"/>
        <w:jc w:val="both"/>
      </w:pPr>
      <w:r>
        <w:rPr>
          <w:rFonts w:ascii="David" w:hAnsi="David" w:cs="David" w:eastAsia="David"/>
          <w:b w:val="0"/>
          <w:i w:val="0"/>
          <w:sz w:val="24"/>
          <w:u w:val="none"/>
          <w:szCs w:val="24"/>
          <w:rtl/>
        </w:rPr>
        <w:t>אשר על כל המקובץ לעיל מתבקש בזאת בית המשפט הנכבד לקבל את ההודעה ואת ההתנגדות, לדחות את הבקשה לאישור הסכם ההבהרה, ליתן את הסעדים המפורטים ברישא, ולחייב את המשיב בהוצאות האישה ובשכר טרחת עו"ד, בצירוף מע"מ כדין.</w:t>
      </w:r>
    </w:p>
    <w:p>
      <w:pPr>
        <w:bidi/>
        <w:spacing w:after="280" w:before="0" w:line="360" w:lineRule="auto"/>
        <w:jc w:val="right"/>
      </w:pPr>
      <w:r>
        <w:rPr>
          <w:rFonts w:ascii="David" w:hAnsi="David" w:cs="David" w:eastAsia="David"/>
          <w:b/>
          <w:i w:val="0"/>
          <w:sz w:val="24"/>
          <w:u w:val="none"/>
          <w:szCs w:val="24"/>
          <w:rtl/>
          <w:bCs/>
        </w:rPr>
        <w:t>מן הדין ומן הצדק להיעתר לבקשה זו.</w:t>
      </w:r>
    </w:p>
    <w:p>
      <w:pPr>
        <w:bidi/>
        <w:spacing w:after="0" w:before="0" w:line="360" w:lineRule="auto"/>
        <w:jc w:val="left"/>
      </w:pPr>
      <w:r>
        <w:rPr>
          <w:rFonts w:ascii="David" w:hAnsi="David" w:cs="David" w:eastAsia="David"/>
          <w:b w:val="0"/>
          <w:i w:val="0"/>
          <w:sz w:val="24"/>
          <w:u w:val="none"/>
          <w:szCs w:val="24"/>
          <w:rtl/>
        </w:rPr>
        <w:t>____________________</w:t>
      </w:r>
    </w:p>
    <w:p>
      <w:pPr>
        <w:bidi/>
        <w:spacing w:after="0" w:before="0" w:line="360" w:lineRule="auto"/>
        <w:jc w:val="left"/>
      </w:pPr>
      <w:r>
        <w:rPr>
          <w:rFonts w:ascii="David" w:hAnsi="David" w:cs="David" w:eastAsia="David"/>
          <w:b w:val="0"/>
          <w:i w:val="0"/>
          <w:sz w:val="24"/>
          <w:u w:val="none"/>
          <w:szCs w:val="24"/>
          <w:rtl/>
        </w:rPr>
        <w:t>____________, עו"ד</w:t>
      </w:r>
    </w:p>
    <w:p>
      <w:pPr>
        <w:bidi/>
        <w:spacing w:after="0" w:before="0" w:line="360" w:lineRule="auto"/>
        <w:jc w:val="left"/>
      </w:pPr>
      <w:r>
        <w:rPr>
          <w:rFonts w:ascii="David" w:hAnsi="David" w:cs="David" w:eastAsia="David"/>
          <w:b w:val="0"/>
          <w:i w:val="0"/>
          <w:sz w:val="24"/>
          <w:u w:val="none"/>
          <w:szCs w:val="24"/>
          <w:rtl/>
        </w:rPr>
        <w:t>ב"כ המבקשת 2 / המתנגדת</w:t>
      </w:r>
    </w:p>
    <w:p>
      <w:pPr>
        <w:bidi/>
        <w:spacing w:after="280" w:before="0" w:line="360" w:lineRule="auto"/>
        <w:jc w:val="left"/>
      </w:pPr>
      <w:r>
        <w:rPr>
          <w:rFonts w:ascii="David" w:hAnsi="David" w:cs="David" w:eastAsia="David"/>
          <w:b w:val="0"/>
          <w:i w:val="0"/>
          <w:sz w:val="24"/>
          <w:u w:val="none"/>
          <w:szCs w:val="24"/>
          <w:rtl/>
        </w:rPr>
        <w:t>[שם המשרד]</w:t>
      </w:r>
    </w:p>
    <w:p>
      <w:pPr>
        <w:bidi/>
        <w:spacing w:after="200" w:before="0" w:line="360" w:lineRule="auto"/>
        <w:jc w:val="right"/>
      </w:pPr>
      <w:r>
        <w:rPr>
          <w:rFonts w:ascii="David" w:hAnsi="David" w:cs="David" w:eastAsia="David"/>
          <w:b w:val="0"/>
          <w:i w:val="0"/>
          <w:sz w:val="24"/>
          <w:u w:val="none"/>
          <w:szCs w:val="24"/>
          <w:rtl/>
        </w:rPr>
        <w:t>תאריך: ____________</w:t>
      </w:r>
    </w:p>
    <w:p>
      <w:pPr>
        <w:keepNext/>
        <w:bidi/>
        <w:spacing w:after="120" w:before="0" w:line="360" w:lineRule="auto"/>
        <w:jc w:val="right"/>
      </w:pPr>
      <w:r>
        <w:rPr>
          <w:rFonts w:ascii="David" w:hAnsi="David" w:cs="David" w:eastAsia="David"/>
          <w:b/>
          <w:i w:val="0"/>
          <w:sz w:val="24"/>
          <w:u w:val="single"/>
          <w:szCs w:val="24"/>
          <w:rtl/>
          <w:bCs/>
        </w:rPr>
        <w:t>רשימת נספחים</w:t>
      </w:r>
    </w:p>
    <w:p>
      <w:pPr>
        <w:bidi/>
        <w:spacing w:after="40" w:before="0" w:line="360" w:lineRule="auto"/>
        <w:ind w:left="567"/>
        <w:jc w:val="right"/>
      </w:pPr>
      <w:r>
        <w:rPr>
          <w:rFonts w:ascii="David" w:hAnsi="David" w:cs="David" w:eastAsia="David"/>
          <w:b w:val="0"/>
          <w:i w:val="0"/>
          <w:sz w:val="24"/>
          <w:u w:val="none"/>
          <w:szCs w:val="24"/>
          <w:rtl/>
        </w:rPr>
        <w:t>נספח א' - הסכם הממון משנת 2020 ופסק הדין המאשר מיום 8.7.20;</w:t>
      </w:r>
    </w:p>
    <w:p>
      <w:pPr>
        <w:bidi/>
        <w:spacing w:after="40" w:before="0" w:line="360" w:lineRule="auto"/>
        <w:ind w:left="567"/>
        <w:jc w:val="right"/>
      </w:pPr>
      <w:r>
        <w:rPr>
          <w:rFonts w:ascii="David" w:hAnsi="David" w:cs="David" w:eastAsia="David"/>
          <w:b w:val="0"/>
          <w:i w:val="0"/>
          <w:sz w:val="24"/>
          <w:u w:val="none"/>
          <w:szCs w:val="24"/>
          <w:rtl/>
        </w:rPr>
        <w:t>נספח ב' - "הסכם ההבהרה" מיום 26.2.26 / 21.5.26;</w:t>
      </w:r>
    </w:p>
    <w:p>
      <w:pPr>
        <w:bidi/>
        <w:spacing w:after="40" w:before="0" w:line="360" w:lineRule="auto"/>
        <w:ind w:left="567"/>
        <w:jc w:val="right"/>
      </w:pPr>
      <w:r>
        <w:rPr>
          <w:rFonts w:ascii="David" w:hAnsi="David" w:cs="David" w:eastAsia="David"/>
          <w:b w:val="0"/>
          <w:i w:val="0"/>
          <w:sz w:val="24"/>
          <w:u w:val="none"/>
          <w:szCs w:val="24"/>
          <w:rtl/>
        </w:rPr>
        <w:t>נספח ג' - הבקשה לאישור מיום 19.8.26, פרוטוקול הדיון וההחלטה מיום 25.8.26;</w:t>
      </w:r>
    </w:p>
    <w:p>
      <w:pPr>
        <w:bidi/>
        <w:spacing w:after="40" w:before="0" w:line="360" w:lineRule="auto"/>
        <w:ind w:left="567"/>
        <w:jc w:val="right"/>
      </w:pPr>
      <w:r>
        <w:rPr>
          <w:rFonts w:ascii="David" w:hAnsi="David" w:cs="David" w:eastAsia="David"/>
          <w:b w:val="0"/>
          <w:i w:val="0"/>
          <w:sz w:val="24"/>
          <w:u w:val="none"/>
          <w:szCs w:val="24"/>
          <w:rtl/>
        </w:rPr>
        <w:t>נספח ד' - ייפוי כוח לטובת הח"מ והודעת האישה על הפסקת ייצוגה בידי עו"ד יצחק דסי;</w:t>
      </w:r>
    </w:p>
    <w:p>
      <w:pPr>
        <w:bidi/>
        <w:spacing w:after="40" w:before="0" w:line="360" w:lineRule="auto"/>
        <w:ind w:left="567"/>
        <w:jc w:val="right"/>
      </w:pPr>
      <w:r>
        <w:rPr>
          <w:rFonts w:ascii="David" w:hAnsi="David" w:cs="David" w:eastAsia="David"/>
          <w:b w:val="0"/>
          <w:i w:val="0"/>
          <w:sz w:val="24"/>
          <w:u w:val="none"/>
          <w:szCs w:val="24"/>
          <w:rtl/>
        </w:rPr>
        <w:t>נספח ה' - תצהיר האישה בצירוף אישור מתורגמן.</w:t>
      </w:r>
    </w:p>
    <w:sectPr w:rsidR="00FC693F" w:rsidRPr="0006063C" w:rsidSect="00034616">
      <w:footerReference w:type="default" r:id="rId9"/>
      <w:pgSz w:w="11906" w:h="16838"/>
      <w:pgMar w:top="850" w:right="1417" w:bottom="646"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avid" w:hAnsi="David"/>
        <w:sz w:val="20"/>
      </w:rPr>
      <w:fldChar w:fldCharType="begin"/>
    </w:r>
    <w:r>
      <w:rPr>
        <w:rFonts w:ascii="David" w:hAnsi="David"/>
        <w:sz w:val="20"/>
      </w:rPr>
      <w:instrText xml:space="preserve">PAGE</w:instrText>
    </w:r>
    <w:r>
      <w:rPr>
        <w:rFonts w:ascii="David" w:hAnsi="David"/>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