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לשכת ההוצאה לפועל, מסלול מזונות מחוז מרכז</w:t>
            </w:r>
          </w:p>
          <w:p>
            <w:pPr>
              <w:bidi/>
              <w:spacing w:after="40"/>
              <w:jc w:val="start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בפני כב' הרשמת מרים סגל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/>
              <w:jc w:val="end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תיק מס' 542780-03-25</w:t>
            </w:r>
          </w:p>
        </w:tc>
      </w:tr>
    </w:tbl>
    <w:p>
      <w:pPr>
        <w:bidi/>
        <w:spacing w:after="0" w:before="160"/>
        <w:jc w:val="star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המבקש (החייב): </w:t>
      </w:r>
      <w:r>
        <w:rPr>
          <w:rFonts w:ascii="David" w:cs="David" w:eastAsia="David" w:hAnsi="David"/>
          <w:sz w:val="24"/>
          <w:szCs w:val="24"/>
          <w:rtl/>
        </w:rPr>
        <w:t xml:space="preserve">באביי בילילין, ת"ז 328811385</w:t>
      </w:r>
    </w:p>
    <w:p>
      <w:pPr>
        <w:bidi/>
        <w:spacing w:after="0"/>
        <w:jc w:val="start"/>
      </w:pPr>
      <w:r>
        <w:rPr>
          <w:rFonts w:ascii="David" w:cs="David" w:eastAsia="David" w:hAnsi="David"/>
          <w:sz w:val="24"/>
          <w:szCs w:val="24"/>
          <w:rtl/>
        </w:rPr>
        <w:t xml:space="preserve">ע"י ב"כ עו"ד סולומון טקה</w:t>
      </w:r>
    </w:p>
    <w:p>
      <w:pPr>
        <w:bidi/>
        <w:spacing w:after="200"/>
        <w:jc w:val="star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הזוכה: </w:t>
      </w:r>
      <w:r>
        <w:rPr>
          <w:rFonts w:ascii="David" w:cs="David" w:eastAsia="David" w:hAnsi="David"/>
          <w:sz w:val="24"/>
          <w:szCs w:val="24"/>
          <w:rtl/>
        </w:rPr>
        <w:t xml:space="preserve">המוסד לביטוח לאומי</w:t>
      </w:r>
    </w:p>
    <w:p>
      <w:pPr>
        <w:bidi/>
        <w:spacing w:after="200"/>
        <w:jc w:val="center"/>
      </w:pPr>
      <w:r>
        <w:rPr>
          <w:rFonts w:ascii="David" w:cs="David" w:eastAsia="David" w:hAnsi="David"/>
          <w:b/>
          <w:bCs/>
          <w:sz w:val="26"/>
          <w:szCs w:val="26"/>
          <w:u w:val="single"/>
          <w:rtl/>
        </w:rPr>
        <w:t xml:space="preserve">בקשה דחופה ליישום החלטת עיכוב ההליכים, להשבת כספים ולהפסקת הגדלת החוב</w:t>
      </w:r>
    </w:p>
    <w:p>
      <w:pPr>
        <w:pStyle w:val="ListParagraph"/>
        <w:numPr>
          <w:ilvl w:val="0"/>
          <w:numId w:val="2"/>
        </w:numPr>
        <w:bidi/>
        <w:spacing w:after="100" w:line="30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ביום 18.8.2026 הורה בית המשפט לענייני משפחה בראשון לציון (כב' השופטת מירב אליהו, תמ"ש 49199-09-23, בקשה מס' 13) "על עיכוב הליכים בתיק ההוצאה לפועל כמבוקש". ההחלטה מצורפת.</w:t>
      </w:r>
    </w:p>
    <w:p>
      <w:pPr>
        <w:pStyle w:val="ListParagraph"/>
        <w:numPr>
          <w:ilvl w:val="0"/>
          <w:numId w:val="2"/>
        </w:numPr>
        <w:bidi/>
        <w:spacing w:after="100" w:line="30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בהחלטת כבוד הרשמת מיום 22.9.2026 (בקשה מס' 44) נקבע במפורש כי "ההליכים בתיק מעוכבים על פי החלטת בית משפט הנכבד".</w:t>
      </w:r>
    </w:p>
    <w:p>
      <w:pPr>
        <w:pStyle w:val="ListParagraph"/>
        <w:numPr>
          <w:ilvl w:val="0"/>
          <w:numId w:val="2"/>
        </w:numPr>
        <w:bidi/>
        <w:spacing w:after="100" w:line="30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למרות זאת, ביום 15.9.2026, כחודש לאחר מתן העיכוב, מומש העיקול בחשבון הבנק המשותף למבקש ולרעייתו (בנק הפועלים, סניף 768, חשבון 474964), ונגבה ממנו לתיק סך של 8,869 ₪. זאת אף שהחלטת העיכוב נמסרה לזוכה כפי שהורה בית המשפט. מדובר בפעולת גבייה שנעשתה בניגוד מפורש להחלטת בית המשפט, ושפוגעת גם ברעייתו של המבקש, שאינה חייבת בתיק.</w:t>
      </w:r>
    </w:p>
    <w:p>
      <w:pPr>
        <w:pStyle w:val="ListParagraph"/>
        <w:numPr>
          <w:ilvl w:val="0"/>
          <w:numId w:val="2"/>
        </w:numPr>
        <w:bidi/>
        <w:spacing w:after="100" w:line="30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בנוסף, ביום 22.9.2026 הוגדלה קרן החוב בתיק בסך של 3,431 ₪, ויתרת החוב המעודכנת עומדת על 101,996 ₪, לעומת חוב מקורי של 52,728 ₪. המבקש אינו מבין על מה נסמכת הגדלת החוב בזמן שההליכים מעוכבים, ומצב זה מרוקן את העיכוב מתוכנו.</w:t>
      </w:r>
    </w:p>
    <w:p>
      <w:pPr>
        <w:pStyle w:val="ListParagraph"/>
        <w:numPr>
          <w:ilvl w:val="0"/>
          <w:numId w:val="2"/>
        </w:numPr>
        <w:bidi/>
        <w:spacing w:after="100" w:line="30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אין מדובר בבקשה לדון מחדש בחוב, אלא בבקשה ליישם בפועל החלטה קיימת, שכבוד הרשמת כבר הכירה בה.</w:t>
      </w:r>
    </w:p>
    <w:p>
      <w:pPr>
        <w:pStyle w:val="ListParagraph"/>
        <w:numPr>
          <w:ilvl w:val="0"/>
          <w:numId w:val="2"/>
        </w:numPr>
        <w:bidi/>
        <w:spacing w:after="100" w:line="300" w:lineRule="auto"/>
        <w:jc w:val="both"/>
      </w:pPr>
      <w:r>
        <w:rPr>
          <w:rFonts w:ascii="David" w:cs="David" w:eastAsia="David" w:hAnsi="David"/>
          <w:sz w:val="24"/>
          <w:szCs w:val="24"/>
          <w:rtl/>
        </w:rPr>
        <w:t xml:space="preserve">לפיכך מתבקשת כבוד הרשמת להורות: (א) על הפסקה מיידית של כל ההליכים בתיק, לרבות העיקול בחשבון המשותף, ועל הודעה על כך לבנק; (ב) על השבת סך 8,869 ₪ שנגבה ביום 15.9.2026 לחשבון המשותף; (ג) על הפסקת הגדלת החוב בתקופת העיכוב, ולחלופין על המצאת פירוט של כל סכום שנוסף לחוב מאז 18.8.2026 ומקורו, ועל ביטול כל אגרה או הוצאה שנרשמו בשל פעולות אכיפה לאחר מועד זה.</w:t>
      </w:r>
    </w:p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/>
              <w:jc w:val="start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/>
            </w:r>
          </w:p>
          <w:p>
            <w:pPr>
              <w:bidi/>
              <w:spacing w:after="40"/>
              <w:jc w:val="start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תאריך: ____________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spacing w:after="40"/>
              <w:jc w:val="end"/>
            </w:pPr>
            <w:r>
              <w:rPr>
                <w:rFonts w:ascii="David" w:cs="David" w:eastAsia="David" w:hAnsi="David"/>
                <w:sz w:val="24"/>
                <w:szCs w:val="24"/>
                <w:rtl/>
              </w:rPr>
              <w:t xml:space="preserve">____________________</w:t>
            </w:r>
          </w:p>
          <w:p>
            <w:pPr>
              <w:bidi/>
              <w:spacing w:after="40"/>
              <w:jc w:val="end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סולומון טקה, עו"ד</w:t>
            </w:r>
          </w:p>
          <w:p>
            <w:pPr>
              <w:bidi/>
              <w:spacing w:after="40"/>
              <w:jc w:val="end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ב"כ המבקש</w:t>
            </w:r>
          </w:p>
        </w:tc>
      </w:tr>
    </w:tbl>
    <w:p>
      <w:pPr>
        <w:bidi/>
        <w:spacing w:after="0" w:before="200"/>
        <w:jc w:val="star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מצורף: </w:t>
      </w:r>
      <w:r>
        <w:rPr>
          <w:rFonts w:ascii="David" w:cs="David" w:eastAsia="David" w:hAnsi="David"/>
          <w:sz w:val="24"/>
          <w:szCs w:val="24"/>
          <w:rtl/>
        </w:rPr>
        <w:t xml:space="preserve">העתק החלטת בית המשפט לענייני משפחה בראשון לציון מיום 18.8.2026.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567" w:hanging="567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567" w:hanging="56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2026-09-23T09:39:56.175Z</dcterms:created>
  <dcterms:modified xsi:type="dcterms:W3CDTF">2026-09-23T09:39:56.185Z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