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60" w:lineRule="auto"/>
        <w:jc w:val="start"/>
      </w:pPr>
      <w:r>
        <w:rPr>
          <w:rFonts w:ascii="David" w:cs="David" w:eastAsia="David" w:hAnsi="David"/>
          <w:b/>
          <w:bCs/>
          <w:sz w:val="24"/>
          <w:szCs w:val="24"/>
          <w:rtl/>
        </w:rPr>
        <w:t xml:space="preserve">בבית המשפט לענייני משפחה ב______________</w:t>
      </w:r>
    </w:p>
    <w:p>
      <w:pPr>
        <w:bidi/>
        <w:spacing w:after="200" w:before="0" w:line="360" w:lineRule="auto"/>
        <w:jc w:val="start"/>
      </w:pPr>
      <w:r>
        <w:rPr>
          <w:rFonts w:ascii="David" w:cs="David" w:eastAsia="David" w:hAnsi="David"/>
          <w:sz w:val="24"/>
          <w:szCs w:val="24"/>
          <w:rtl/>
        </w:rPr>
        <w:t xml:space="preserve">מספר תיק: תמ"ש ______________</w:t>
      </w:r>
    </w:p>
    <w:p>
      <w:pPr>
        <w:bidi/>
        <w:spacing w:after="0" w:before="0" w:line="360" w:lineRule="auto"/>
        <w:ind w:left="1700" w:hanging="1700"/>
        <w:jc w:val="start"/>
      </w:pPr>
      <w:r>
        <w:rPr>
          <w:rFonts w:ascii="David" w:cs="David" w:eastAsia="David" w:hAnsi="David"/>
          <w:b/>
          <w:bCs/>
          <w:sz w:val="24"/>
          <w:szCs w:val="24"/>
          <w:rtl/>
        </w:rPr>
        <w:t xml:space="preserve">המבקשת:</w:t>
      </w:r>
      <w:r>
        <w:rPr>
          <w:rFonts w:ascii="David" w:cs="David" w:eastAsia="David" w:hAnsi="David"/>
          <w:sz w:val="24"/>
          <w:szCs w:val="24"/>
          <w:rtl/>
        </w:rPr>
        <w:t xml:space="preserve">	______________ (שם מלא), ת.ז. ______________</w:t>
      </w:r>
    </w:p>
    <w:p>
      <w:pPr>
        <w:bidi/>
        <w:spacing w:after="0" w:before="0" w:line="360" w:lineRule="auto"/>
        <w:ind w:left="1700"/>
        <w:jc w:val="start"/>
      </w:pPr>
      <w:r>
        <w:rPr>
          <w:rFonts w:ascii="David" w:cs="David" w:eastAsia="David" w:hAnsi="David"/>
          <w:sz w:val="24"/>
          <w:szCs w:val="24"/>
          <w:rtl/>
        </w:rPr>
        <w:t xml:space="preserve">מרחוב ______________ (רחוב ומספר), ______________ (עיר)</w:t>
      </w:r>
    </w:p>
    <w:p>
      <w:pPr>
        <w:bidi/>
        <w:spacing w:after="0" w:before="0" w:line="360" w:lineRule="auto"/>
        <w:ind w:left="1700"/>
        <w:jc w:val="start"/>
      </w:pPr>
      <w:r>
        <w:rPr>
          <w:rFonts w:ascii="David" w:cs="David" w:eastAsia="David" w:hAnsi="David"/>
          <w:sz w:val="24"/>
          <w:szCs w:val="24"/>
          <w:rtl/>
        </w:rPr>
        <w:t xml:space="preserve">ע"י ב"כ עו"ד סולומון טקה, מ.ר. ______________</w:t>
      </w:r>
    </w:p>
    <w:p>
      <w:pPr>
        <w:bidi/>
        <w:spacing w:after="0" w:before="0" w:line="360" w:lineRule="auto"/>
        <w:ind w:left="1700"/>
        <w:jc w:val="start"/>
      </w:pPr>
      <w:r>
        <w:rPr>
          <w:rFonts w:ascii="David" w:cs="David" w:eastAsia="David" w:hAnsi="David"/>
          <w:sz w:val="24"/>
          <w:szCs w:val="24"/>
          <w:rtl/>
        </w:rPr>
        <w:t xml:space="preserve">מרחוב ______________ (כתובת המשרד) ; טל' ______________ ; דוא"ל ______________</w:t>
      </w:r>
    </w:p>
    <w:p>
      <w:pPr>
        <w:bidi/>
        <w:spacing w:after="160" w:before="160" w:line="360" w:lineRule="auto"/>
        <w:jc w:val="center"/>
      </w:pPr>
      <w:r>
        <w:rPr>
          <w:rFonts w:ascii="David" w:cs="David" w:eastAsia="David" w:hAnsi="David"/>
          <w:sz w:val="24"/>
          <w:szCs w:val="24"/>
          <w:rtl/>
        </w:rPr>
        <w:t xml:space="preserve">- נ ג ד -</w:t>
      </w:r>
    </w:p>
    <w:p>
      <w:pPr>
        <w:bidi/>
        <w:spacing w:after="0" w:before="0" w:line="360" w:lineRule="auto"/>
        <w:ind w:left="1700" w:hanging="1700"/>
        <w:jc w:val="start"/>
      </w:pPr>
      <w:r>
        <w:rPr>
          <w:rFonts w:ascii="David" w:cs="David" w:eastAsia="David" w:hAnsi="David"/>
          <w:b/>
          <w:bCs/>
          <w:sz w:val="24"/>
          <w:szCs w:val="24"/>
          <w:rtl/>
        </w:rPr>
        <w:t xml:space="preserve">המשיב:</w:t>
      </w:r>
      <w:r>
        <w:rPr>
          <w:rFonts w:ascii="David" w:cs="David" w:eastAsia="David" w:hAnsi="David"/>
          <w:sz w:val="24"/>
          <w:szCs w:val="24"/>
          <w:rtl/>
        </w:rPr>
        <w:t xml:space="preserve">	______________ (שם מלא), ת.ז. ______________</w:t>
      </w:r>
    </w:p>
    <w:p>
      <w:pPr>
        <w:bidi/>
        <w:spacing w:after="0" w:before="0" w:line="360" w:lineRule="auto"/>
        <w:ind w:left="1700"/>
        <w:jc w:val="start"/>
      </w:pPr>
      <w:r>
        <w:rPr>
          <w:rFonts w:ascii="David" w:cs="David" w:eastAsia="David" w:hAnsi="David"/>
          <w:sz w:val="24"/>
          <w:szCs w:val="24"/>
          <w:rtl/>
        </w:rPr>
        <w:t xml:space="preserve">מרחוב ______________ (רחוב ומספר), ______________ (עיר)</w:t>
      </w:r>
    </w:p>
    <w:p>
      <w:pPr>
        <w:bidi/>
        <w:spacing w:after="0" w:before="0" w:line="360" w:lineRule="auto"/>
        <w:ind w:left="1700"/>
        <w:jc w:val="start"/>
      </w:pPr>
      <w:r>
        <w:rPr>
          <w:rFonts w:ascii="David" w:cs="David" w:eastAsia="David" w:hAnsi="David"/>
          <w:sz w:val="24"/>
          <w:szCs w:val="24"/>
          <w:rtl/>
        </w:rPr>
        <w:t xml:space="preserve">ע"י ב"כ עו"ד ______________ (ככל שמיוצג)</w:t>
      </w:r>
    </w:p>
    <w:p>
      <w:pPr>
        <w:bidi/>
        <w:spacing w:after="240" w:before="240" w:line="360" w:lineRule="auto"/>
        <w:jc w:val="center"/>
      </w:pPr>
      <w:r>
        <w:rPr>
          <w:rFonts w:ascii="David" w:cs="David" w:eastAsia="David" w:hAnsi="David"/>
          <w:b/>
          <w:bCs/>
          <w:sz w:val="32"/>
          <w:szCs w:val="32"/>
          <w:u w:val="single"/>
          <w:rtl/>
        </w:rPr>
        <w:t xml:space="preserve">בקשה לאכיפת זמני שהות</w:t>
      </w:r>
    </w:p>
    <w:p>
      <w:pPr>
        <w:bidi/>
        <w:spacing w:after="160" w:before="0" w:line="360" w:lineRule="auto"/>
        <w:jc w:val="both"/>
      </w:pPr>
      <w:r>
        <w:rPr>
          <w:rFonts w:ascii="David" w:cs="David" w:eastAsia="David" w:hAnsi="David"/>
          <w:sz w:val="24"/>
          <w:szCs w:val="24"/>
          <w:rtl/>
        </w:rPr>
        <w:t xml:space="preserve">בית המשפט הנכבד מתבקש בזאת להורות למשיב לקיים את זמני השהות שנקבעו בהחלטת בית המשפט הנכבד מיום ______________ (להלן: "ההחלטה"), במלואם וכסדרם, ולהימנע מביטולם או משינוים באופן חד-צדדי; וכן ליתן את יתר הסעדים המפורטים בסיפא לבקשה זו.</w:t>
      </w:r>
    </w:p>
    <w:p>
      <w:pPr>
        <w:bidi/>
        <w:spacing w:after="200" w:before="0" w:line="360" w:lineRule="auto"/>
        <w:jc w:val="start"/>
      </w:pPr>
      <w:r>
        <w:rPr>
          <w:rFonts w:ascii="David" w:cs="David" w:eastAsia="David" w:hAnsi="David"/>
          <w:b/>
          <w:bCs/>
          <w:sz w:val="24"/>
          <w:szCs w:val="24"/>
          <w:rtl/>
        </w:rPr>
        <w:t xml:space="preserve">ואלו נימוקי הבקשה:</w:t>
      </w:r>
    </w:p>
    <w:p>
      <w:pPr>
        <w:bidi/>
        <w:spacing w:after="160" w:before="280" w:line="360" w:lineRule="auto"/>
        <w:jc w:val="start"/>
      </w:pPr>
      <w:r>
        <w:rPr>
          <w:rFonts w:ascii="David" w:cs="David" w:eastAsia="David" w:hAnsi="David"/>
          <w:b/>
          <w:bCs/>
          <w:sz w:val="24"/>
          <w:szCs w:val="24"/>
          <w:u w:val="single"/>
          <w:rtl/>
        </w:rPr>
        <w:t xml:space="preserve">א. תמצית הבקשה</w:t>
      </w:r>
    </w:p>
    <w:p>
      <w:pPr>
        <w:pStyle w:val="ListParagraph"/>
        <w:numPr>
          <w:ilvl w:val="0"/>
          <w:numId w:val="2"/>
        </w:numPr>
        <w:bidi/>
        <w:spacing w:after="160" w:line="360" w:lineRule="auto"/>
        <w:jc w:val="both"/>
      </w:pPr>
      <w:r>
        <w:rPr>
          <w:rFonts w:ascii="David" w:cs="David" w:eastAsia="David" w:hAnsi="David"/>
          <w:sz w:val="24"/>
          <w:szCs w:val="24"/>
          <w:rtl/>
        </w:rPr>
        <w:t xml:space="preserve">עניינה של בקשה דנא בהפרה חוזרת ונשנית של זמני השהות שנקבעו בהחלטת בית המשפט הנכבד. מאז ניתנה ההחלטה נעדר המשיב מחמישה מפגשים שנקבעו; בכל אחד מהם הודיע על אי-הגעתו ביום המפגש עצמו, ובאף לא אחד מהם נמסר נימוק כלשהו להיעדרותו.</w:t>
      </w:r>
    </w:p>
    <w:p>
      <w:pPr>
        <w:pStyle w:val="ListParagraph"/>
        <w:numPr>
          <w:ilvl w:val="0"/>
          <w:numId w:val="2"/>
        </w:numPr>
        <w:bidi/>
        <w:spacing w:after="160" w:line="360" w:lineRule="auto"/>
        <w:jc w:val="both"/>
      </w:pPr>
      <w:r>
        <w:rPr>
          <w:rFonts w:ascii="David" w:cs="David" w:eastAsia="David" w:hAnsi="David"/>
          <w:sz w:val="24"/>
          <w:szCs w:val="24"/>
          <w:rtl/>
        </w:rPr>
        <w:t xml:space="preserve">ודוק; אין המדובר בביטול נקודתי שנסיבות מוצדקות בצידו, כי אם בדפוס חוזר, המסכל הלכה למעשה את קיומם של זמני השהות, ומותיר את הקטינים ממתינים למפגש שאינו מתקיים.</w:t>
      </w:r>
    </w:p>
    <w:p>
      <w:pPr>
        <w:pStyle w:val="ListParagraph"/>
        <w:numPr>
          <w:ilvl w:val="0"/>
          <w:numId w:val="2"/>
        </w:numPr>
        <w:bidi/>
        <w:spacing w:after="160" w:line="360" w:lineRule="auto"/>
        <w:jc w:val="both"/>
      </w:pPr>
      <w:r>
        <w:rPr>
          <w:rFonts w:ascii="David" w:cs="David" w:eastAsia="David" w:hAnsi="David"/>
          <w:sz w:val="24"/>
          <w:szCs w:val="24"/>
          <w:rtl/>
        </w:rPr>
        <w:t xml:space="preserve">הסעד המבוקש מידתי ומצומצם: אכיפת ההחלטה כלשונה, קביעת חובת הודעה מוקדמת בכתב, השלמת מפגשים שלא התקיימו, והבהרה כי הפרה נוספת ללא הצדקה עלולה להוליך לנקיטת הליכי אכיפה כדין.</w:t>
      </w:r>
    </w:p>
    <w:p>
      <w:pPr>
        <w:bidi/>
        <w:spacing w:after="160" w:before="280" w:line="360" w:lineRule="auto"/>
        <w:jc w:val="start"/>
      </w:pPr>
      <w:r>
        <w:rPr>
          <w:rFonts w:ascii="David" w:cs="David" w:eastAsia="David" w:hAnsi="David"/>
          <w:b/>
          <w:bCs/>
          <w:sz w:val="24"/>
          <w:szCs w:val="24"/>
          <w:u w:val="single"/>
          <w:rtl/>
        </w:rPr>
        <w:t xml:space="preserve">ב. הצדדים והרקע העובדתי</w:t>
      </w:r>
    </w:p>
    <w:p>
      <w:pPr>
        <w:pStyle w:val="ListParagraph"/>
        <w:numPr>
          <w:ilvl w:val="0"/>
          <w:numId w:val="2"/>
        </w:numPr>
        <w:bidi/>
        <w:spacing w:after="160" w:line="360" w:lineRule="auto"/>
        <w:jc w:val="both"/>
      </w:pPr>
      <w:r>
        <w:rPr>
          <w:rFonts w:ascii="David" w:cs="David" w:eastAsia="David" w:hAnsi="David"/>
          <w:sz w:val="24"/>
          <w:szCs w:val="24"/>
          <w:rtl/>
        </w:rPr>
        <w:t xml:space="preserve">המבקשת והמשיב הם הוריהם של הקטינים ______________ (שם), יליד/ת ______________, ו-______________ (שם), יליד/ת ______________ (להלן: "הקטינים"). הקטינים מתגוררים דרך קבע עם המבקשת.</w:t>
      </w:r>
    </w:p>
    <w:p>
      <w:pPr>
        <w:pStyle w:val="ListParagraph"/>
        <w:numPr>
          <w:ilvl w:val="0"/>
          <w:numId w:val="2"/>
        </w:numPr>
        <w:bidi/>
        <w:spacing w:after="160" w:line="360" w:lineRule="auto"/>
        <w:jc w:val="both"/>
      </w:pPr>
      <w:r>
        <w:rPr>
          <w:rFonts w:ascii="David" w:cs="David" w:eastAsia="David" w:hAnsi="David"/>
          <w:sz w:val="24"/>
          <w:szCs w:val="24"/>
          <w:rtl/>
        </w:rPr>
        <w:t xml:space="preserve">ביום ______________ נקבעו זמני השהות בין המשיב לבין הקטינים, במסגרת ______________ (החלטה / הסכם הורות שאושר וקיבל תוקף של פסק דין) (להלן: "ההחלטה"), ולפיהם ______________ (פירוט המתכונת שנקבעה — ימים בשבוע ושעות, סופי שבוע, חגים וחופשות).</w:t>
      </w:r>
    </w:p>
    <w:p>
      <w:pPr>
        <w:bidi/>
        <w:spacing w:after="160" w:before="0" w:line="360" w:lineRule="auto"/>
        <w:ind w:left="720"/>
        <w:jc w:val="both"/>
      </w:pPr>
      <w:r>
        <w:rPr>
          <w:rFonts w:ascii="David" w:cs="David" w:eastAsia="David" w:hAnsi="David"/>
          <w:sz w:val="24"/>
          <w:szCs w:val="24"/>
          <w:rtl/>
        </w:rPr>
        <w:t xml:space="preserve">מצ"ב העתק ההחלטה, ומסומן נספח א'.</w:t>
      </w:r>
    </w:p>
    <w:p>
      <w:pPr>
        <w:pStyle w:val="ListParagraph"/>
        <w:numPr>
          <w:ilvl w:val="0"/>
          <w:numId w:val="2"/>
        </w:numPr>
        <w:bidi/>
        <w:spacing w:after="160" w:line="360" w:lineRule="auto"/>
        <w:jc w:val="both"/>
      </w:pPr>
      <w:r>
        <w:rPr>
          <w:rFonts w:ascii="David" w:cs="David" w:eastAsia="David" w:hAnsi="David"/>
          <w:sz w:val="24"/>
          <w:szCs w:val="24"/>
          <w:rtl/>
        </w:rPr>
        <w:t xml:space="preserve">מאז שנקבעו זמני השהות ועד למועד הגשת בקשה זו נקבעו חמישה-עשר מפגשים, ומהם התקיימו בפועל תשעה מפגשים בלבד.</w:t>
      </w:r>
    </w:p>
    <w:p>
      <w:pPr>
        <w:bidi/>
        <w:spacing w:after="160" w:before="280" w:line="360" w:lineRule="auto"/>
        <w:jc w:val="start"/>
      </w:pPr>
      <w:r>
        <w:rPr>
          <w:rFonts w:ascii="David" w:cs="David" w:eastAsia="David" w:hAnsi="David"/>
          <w:b/>
          <w:bCs/>
          <w:sz w:val="24"/>
          <w:szCs w:val="24"/>
          <w:u w:val="single"/>
          <w:rtl/>
        </w:rPr>
        <w:t xml:space="preserve">ג. היעדרויות המשיב מזמני השהות</w:t>
      </w:r>
    </w:p>
    <w:p>
      <w:pPr>
        <w:pStyle w:val="ListParagraph"/>
        <w:numPr>
          <w:ilvl w:val="0"/>
          <w:numId w:val="2"/>
        </w:numPr>
        <w:bidi/>
        <w:spacing w:after="160" w:line="360" w:lineRule="auto"/>
        <w:jc w:val="both"/>
      </w:pPr>
      <w:r>
        <w:rPr>
          <w:rFonts w:ascii="David" w:cs="David" w:eastAsia="David" w:hAnsi="David"/>
          <w:sz w:val="24"/>
          <w:szCs w:val="24"/>
          <w:rtl/>
        </w:rPr>
        <w:t xml:space="preserve">המשיב לא התייצב למפגשים שנקבעו במועדים המפורטים להלן:</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3300"/>
        <w:gridCol w:w="2772"/>
      </w:tblGrid>
      <w:tr>
        <w:trPr>
          <w:tblHeader/>
        </w:trPr>
        <w:tc>
          <w:tcPr>
            <w:tcW w:type="dxa" w:w="800"/>
            <w:tcBorders>
              <w:top w:val="single" w:color="000000" w:sz="4"/>
              <w:left w:val="single" w:color="000000" w:sz="4"/>
              <w:bottom w:val="single" w:color="000000" w:sz="4"/>
              <w:right w:val="single" w:color="000000" w:sz="4"/>
            </w:tcBorders>
          </w:tcPr>
          <w:p>
            <w:pPr>
              <w:bidi/>
              <w:spacing w:after="40" w:before="0" w:line="360" w:lineRule="auto"/>
              <w:jc w:val="center"/>
            </w:pPr>
            <w:r>
              <w:rPr>
                <w:rFonts w:ascii="David" w:cs="David" w:eastAsia="David" w:hAnsi="David"/>
                <w:b/>
                <w:bCs/>
                <w:sz w:val="24"/>
                <w:szCs w:val="24"/>
                <w:rtl/>
              </w:rPr>
              <w:t xml:space="preserve">מס'</w:t>
            </w:r>
          </w:p>
        </w:tc>
        <w:tc>
          <w:tcPr>
            <w:tcW w:type="dxa" w:w="2200"/>
            <w:tcBorders>
              <w:top w:val="single" w:color="000000" w:sz="4"/>
              <w:left w:val="single" w:color="000000" w:sz="4"/>
              <w:bottom w:val="single" w:color="000000" w:sz="4"/>
              <w:right w:val="single" w:color="000000" w:sz="4"/>
            </w:tcBorders>
          </w:tcPr>
          <w:p>
            <w:pPr>
              <w:bidi/>
              <w:spacing w:after="40" w:before="0" w:line="360" w:lineRule="auto"/>
              <w:jc w:val="center"/>
            </w:pPr>
            <w:r>
              <w:rPr>
                <w:rFonts w:ascii="David" w:cs="David" w:eastAsia="David" w:hAnsi="David"/>
                <w:b/>
                <w:bCs/>
                <w:sz w:val="24"/>
                <w:szCs w:val="24"/>
                <w:rtl/>
              </w:rPr>
              <w:t xml:space="preserve">מועד המפגש שנקבע</w:t>
            </w:r>
          </w:p>
        </w:tc>
        <w:tc>
          <w:tcPr>
            <w:tcW w:type="dxa" w:w="3300"/>
            <w:tcBorders>
              <w:top w:val="single" w:color="000000" w:sz="4"/>
              <w:left w:val="single" w:color="000000" w:sz="4"/>
              <w:bottom w:val="single" w:color="000000" w:sz="4"/>
              <w:right w:val="single" w:color="000000" w:sz="4"/>
            </w:tcBorders>
          </w:tcPr>
          <w:p>
            <w:pPr>
              <w:bidi/>
              <w:spacing w:after="40" w:before="0" w:line="360" w:lineRule="auto"/>
              <w:jc w:val="center"/>
            </w:pPr>
            <w:r>
              <w:rPr>
                <w:rFonts w:ascii="David" w:cs="David" w:eastAsia="David" w:hAnsi="David"/>
                <w:b/>
                <w:bCs/>
                <w:sz w:val="24"/>
                <w:szCs w:val="24"/>
                <w:rtl/>
              </w:rPr>
              <w:t xml:space="preserve">מועד ההודעה על אי-ההגעה</w:t>
            </w:r>
          </w:p>
        </w:tc>
        <w:tc>
          <w:tcPr>
            <w:tcW w:type="dxa" w:w="2772"/>
            <w:tcBorders>
              <w:top w:val="single" w:color="000000" w:sz="4"/>
              <w:left w:val="single" w:color="000000" w:sz="4"/>
              <w:bottom w:val="single" w:color="000000" w:sz="4"/>
              <w:right w:val="single" w:color="000000" w:sz="4"/>
            </w:tcBorders>
          </w:tcPr>
          <w:p>
            <w:pPr>
              <w:bidi/>
              <w:spacing w:after="40" w:before="0" w:line="360" w:lineRule="auto"/>
              <w:jc w:val="center"/>
            </w:pPr>
            <w:r>
              <w:rPr>
                <w:rFonts w:ascii="David" w:cs="David" w:eastAsia="David" w:hAnsi="David"/>
                <w:b/>
                <w:bCs/>
                <w:sz w:val="24"/>
                <w:szCs w:val="24"/>
                <w:rtl/>
              </w:rPr>
              <w:t xml:space="preserve">הנימוק שנמסר</w:t>
            </w:r>
          </w:p>
        </w:tc>
      </w:tr>
      <w:tr>
        <w:tc>
          <w:tcPr>
            <w:tcW w:type="dxa" w:w="800"/>
            <w:tcBorders>
              <w:top w:val="single" w:color="000000" w:sz="4"/>
              <w:left w:val="single" w:color="000000" w:sz="4"/>
              <w:bottom w:val="single" w:color="000000" w:sz="4"/>
              <w:right w:val="single" w:color="000000" w:sz="4"/>
            </w:tcBorders>
          </w:tcPr>
          <w:p>
            <w:pPr>
              <w:bidi/>
              <w:spacing w:after="40" w:before="0" w:line="360" w:lineRule="auto"/>
              <w:jc w:val="center"/>
            </w:pPr>
            <w:r>
              <w:rPr>
                <w:rFonts w:ascii="David" w:cs="David" w:eastAsia="David" w:hAnsi="David"/>
                <w:sz w:val="24"/>
                <w:szCs w:val="24"/>
                <w:rtl/>
              </w:rPr>
              <w:t xml:space="preserve">1</w:t>
            </w:r>
          </w:p>
        </w:tc>
        <w:tc>
          <w:tcPr>
            <w:tcW w:type="dxa" w:w="2200"/>
            <w:tcBorders>
              <w:top w:val="single" w:color="000000" w:sz="4"/>
              <w:left w:val="single" w:color="000000" w:sz="4"/>
              <w:bottom w:val="single" w:color="000000" w:sz="4"/>
              <w:right w:val="single" w:color="000000" w:sz="4"/>
            </w:tcBorders>
          </w:tcPr>
          <w:p>
            <w:pPr>
              <w:bidi/>
              <w:spacing w:after="40" w:before="0" w:line="360" w:lineRule="auto"/>
              <w:jc w:val="center"/>
            </w:pPr>
            <w:r>
              <w:rPr>
                <w:rFonts w:ascii="David" w:cs="David" w:eastAsia="David" w:hAnsi="David"/>
                <w:sz w:val="24"/>
                <w:szCs w:val="24"/>
                <w:rtl/>
              </w:rPr>
              <w:t xml:space="preserve">10.5.2026</w:t>
            </w:r>
          </w:p>
        </w:tc>
        <w:tc>
          <w:tcPr>
            <w:tcW w:type="dxa" w:w="3300"/>
            <w:tcBorders>
              <w:top w:val="single" w:color="000000" w:sz="4"/>
              <w:left w:val="single" w:color="000000" w:sz="4"/>
              <w:bottom w:val="single" w:color="000000" w:sz="4"/>
              <w:right w:val="single" w:color="000000" w:sz="4"/>
            </w:tcBorders>
          </w:tcPr>
          <w:p>
            <w:pPr>
              <w:bidi/>
              <w:spacing w:after="40" w:before="0" w:line="360" w:lineRule="auto"/>
              <w:jc w:val="center"/>
            </w:pPr>
            <w:r>
              <w:rPr>
                <w:rFonts w:ascii="David" w:cs="David" w:eastAsia="David" w:hAnsi="David"/>
                <w:sz w:val="24"/>
                <w:szCs w:val="24"/>
                <w:rtl/>
              </w:rPr>
              <w:t xml:space="preserve">ביום המפגש עצמו</w:t>
            </w:r>
          </w:p>
        </w:tc>
        <w:tc>
          <w:tcPr>
            <w:tcW w:type="dxa" w:w="2772"/>
            <w:tcBorders>
              <w:top w:val="single" w:color="000000" w:sz="4"/>
              <w:left w:val="single" w:color="000000" w:sz="4"/>
              <w:bottom w:val="single" w:color="000000" w:sz="4"/>
              <w:right w:val="single" w:color="000000" w:sz="4"/>
            </w:tcBorders>
          </w:tcPr>
          <w:p>
            <w:pPr>
              <w:bidi/>
              <w:spacing w:after="40" w:before="0" w:line="360" w:lineRule="auto"/>
              <w:jc w:val="center"/>
            </w:pPr>
            <w:r>
              <w:rPr>
                <w:rFonts w:ascii="David" w:cs="David" w:eastAsia="David" w:hAnsi="David"/>
                <w:sz w:val="24"/>
                <w:szCs w:val="24"/>
                <w:rtl/>
              </w:rPr>
              <w:t xml:space="preserve">לא נמסר</w:t>
            </w:r>
          </w:p>
        </w:tc>
      </w:tr>
      <w:tr>
        <w:tc>
          <w:tcPr>
            <w:tcW w:type="dxa" w:w="800"/>
            <w:tcBorders>
              <w:top w:val="single" w:color="000000" w:sz="4"/>
              <w:left w:val="single" w:color="000000" w:sz="4"/>
              <w:bottom w:val="single" w:color="000000" w:sz="4"/>
              <w:right w:val="single" w:color="000000" w:sz="4"/>
            </w:tcBorders>
          </w:tcPr>
          <w:p>
            <w:pPr>
              <w:bidi/>
              <w:spacing w:after="40" w:before="0" w:line="360" w:lineRule="auto"/>
              <w:jc w:val="center"/>
            </w:pPr>
            <w:r>
              <w:rPr>
                <w:rFonts w:ascii="David" w:cs="David" w:eastAsia="David" w:hAnsi="David"/>
                <w:sz w:val="24"/>
                <w:szCs w:val="24"/>
                <w:rtl/>
              </w:rPr>
              <w:t xml:space="preserve">2</w:t>
            </w:r>
          </w:p>
        </w:tc>
        <w:tc>
          <w:tcPr>
            <w:tcW w:type="dxa" w:w="2200"/>
            <w:tcBorders>
              <w:top w:val="single" w:color="000000" w:sz="4"/>
              <w:left w:val="single" w:color="000000" w:sz="4"/>
              <w:bottom w:val="single" w:color="000000" w:sz="4"/>
              <w:right w:val="single" w:color="000000" w:sz="4"/>
            </w:tcBorders>
          </w:tcPr>
          <w:p>
            <w:pPr>
              <w:bidi/>
              <w:spacing w:after="40" w:before="0" w:line="360" w:lineRule="auto"/>
              <w:jc w:val="center"/>
            </w:pPr>
            <w:r>
              <w:rPr>
                <w:rFonts w:ascii="David" w:cs="David" w:eastAsia="David" w:hAnsi="David"/>
                <w:sz w:val="24"/>
                <w:szCs w:val="24"/>
                <w:rtl/>
              </w:rPr>
              <w:t xml:space="preserve">28.6.2026</w:t>
            </w:r>
          </w:p>
        </w:tc>
        <w:tc>
          <w:tcPr>
            <w:tcW w:type="dxa" w:w="3300"/>
            <w:tcBorders>
              <w:top w:val="single" w:color="000000" w:sz="4"/>
              <w:left w:val="single" w:color="000000" w:sz="4"/>
              <w:bottom w:val="single" w:color="000000" w:sz="4"/>
              <w:right w:val="single" w:color="000000" w:sz="4"/>
            </w:tcBorders>
          </w:tcPr>
          <w:p>
            <w:pPr>
              <w:bidi/>
              <w:spacing w:after="40" w:before="0" w:line="360" w:lineRule="auto"/>
              <w:jc w:val="center"/>
            </w:pPr>
            <w:r>
              <w:rPr>
                <w:rFonts w:ascii="David" w:cs="David" w:eastAsia="David" w:hAnsi="David"/>
                <w:sz w:val="24"/>
                <w:szCs w:val="24"/>
                <w:rtl/>
              </w:rPr>
              <w:t xml:space="preserve">ביום המפגש עצמו</w:t>
            </w:r>
          </w:p>
        </w:tc>
        <w:tc>
          <w:tcPr>
            <w:tcW w:type="dxa" w:w="2772"/>
            <w:tcBorders>
              <w:top w:val="single" w:color="000000" w:sz="4"/>
              <w:left w:val="single" w:color="000000" w:sz="4"/>
              <w:bottom w:val="single" w:color="000000" w:sz="4"/>
              <w:right w:val="single" w:color="000000" w:sz="4"/>
            </w:tcBorders>
          </w:tcPr>
          <w:p>
            <w:pPr>
              <w:bidi/>
              <w:spacing w:after="40" w:before="0" w:line="360" w:lineRule="auto"/>
              <w:jc w:val="center"/>
            </w:pPr>
            <w:r>
              <w:rPr>
                <w:rFonts w:ascii="David" w:cs="David" w:eastAsia="David" w:hAnsi="David"/>
                <w:sz w:val="24"/>
                <w:szCs w:val="24"/>
                <w:rtl/>
              </w:rPr>
              <w:t xml:space="preserve">לא נמסר</w:t>
            </w:r>
          </w:p>
        </w:tc>
      </w:tr>
      <w:tr>
        <w:tc>
          <w:tcPr>
            <w:tcW w:type="dxa" w:w="800"/>
            <w:tcBorders>
              <w:top w:val="single" w:color="000000" w:sz="4"/>
              <w:left w:val="single" w:color="000000" w:sz="4"/>
              <w:bottom w:val="single" w:color="000000" w:sz="4"/>
              <w:right w:val="single" w:color="000000" w:sz="4"/>
            </w:tcBorders>
          </w:tcPr>
          <w:p>
            <w:pPr>
              <w:bidi/>
              <w:spacing w:after="40" w:before="0" w:line="360" w:lineRule="auto"/>
              <w:jc w:val="center"/>
            </w:pPr>
            <w:r>
              <w:rPr>
                <w:rFonts w:ascii="David" w:cs="David" w:eastAsia="David" w:hAnsi="David"/>
                <w:sz w:val="24"/>
                <w:szCs w:val="24"/>
                <w:rtl/>
              </w:rPr>
              <w:t xml:space="preserve">3</w:t>
            </w:r>
          </w:p>
        </w:tc>
        <w:tc>
          <w:tcPr>
            <w:tcW w:type="dxa" w:w="2200"/>
            <w:tcBorders>
              <w:top w:val="single" w:color="000000" w:sz="4"/>
              <w:left w:val="single" w:color="000000" w:sz="4"/>
              <w:bottom w:val="single" w:color="000000" w:sz="4"/>
              <w:right w:val="single" w:color="000000" w:sz="4"/>
            </w:tcBorders>
          </w:tcPr>
          <w:p>
            <w:pPr>
              <w:bidi/>
              <w:spacing w:after="40" w:before="0" w:line="360" w:lineRule="auto"/>
              <w:jc w:val="center"/>
            </w:pPr>
            <w:r>
              <w:rPr>
                <w:rFonts w:ascii="David" w:cs="David" w:eastAsia="David" w:hAnsi="David"/>
                <w:sz w:val="24"/>
                <w:szCs w:val="24"/>
                <w:rtl/>
              </w:rPr>
              <w:t xml:space="preserve">5.7.2026</w:t>
            </w:r>
          </w:p>
        </w:tc>
        <w:tc>
          <w:tcPr>
            <w:tcW w:type="dxa" w:w="3300"/>
            <w:tcBorders>
              <w:top w:val="single" w:color="000000" w:sz="4"/>
              <w:left w:val="single" w:color="000000" w:sz="4"/>
              <w:bottom w:val="single" w:color="000000" w:sz="4"/>
              <w:right w:val="single" w:color="000000" w:sz="4"/>
            </w:tcBorders>
          </w:tcPr>
          <w:p>
            <w:pPr>
              <w:bidi/>
              <w:spacing w:after="40" w:before="0" w:line="360" w:lineRule="auto"/>
              <w:jc w:val="center"/>
            </w:pPr>
            <w:r>
              <w:rPr>
                <w:rFonts w:ascii="David" w:cs="David" w:eastAsia="David" w:hAnsi="David"/>
                <w:sz w:val="24"/>
                <w:szCs w:val="24"/>
                <w:rtl/>
              </w:rPr>
              <w:t xml:space="preserve">ביום המפגש עצמו</w:t>
            </w:r>
          </w:p>
        </w:tc>
        <w:tc>
          <w:tcPr>
            <w:tcW w:type="dxa" w:w="2772"/>
            <w:tcBorders>
              <w:top w:val="single" w:color="000000" w:sz="4"/>
              <w:left w:val="single" w:color="000000" w:sz="4"/>
              <w:bottom w:val="single" w:color="000000" w:sz="4"/>
              <w:right w:val="single" w:color="000000" w:sz="4"/>
            </w:tcBorders>
          </w:tcPr>
          <w:p>
            <w:pPr>
              <w:bidi/>
              <w:spacing w:after="40" w:before="0" w:line="360" w:lineRule="auto"/>
              <w:jc w:val="center"/>
            </w:pPr>
            <w:r>
              <w:rPr>
                <w:rFonts w:ascii="David" w:cs="David" w:eastAsia="David" w:hAnsi="David"/>
                <w:sz w:val="24"/>
                <w:szCs w:val="24"/>
                <w:rtl/>
              </w:rPr>
              <w:t xml:space="preserve">לא נמסר</w:t>
            </w:r>
          </w:p>
        </w:tc>
      </w:tr>
      <w:tr>
        <w:tc>
          <w:tcPr>
            <w:tcW w:type="dxa" w:w="800"/>
            <w:tcBorders>
              <w:top w:val="single" w:color="000000" w:sz="4"/>
              <w:left w:val="single" w:color="000000" w:sz="4"/>
              <w:bottom w:val="single" w:color="000000" w:sz="4"/>
              <w:right w:val="single" w:color="000000" w:sz="4"/>
            </w:tcBorders>
          </w:tcPr>
          <w:p>
            <w:pPr>
              <w:bidi/>
              <w:spacing w:after="40" w:before="0" w:line="360" w:lineRule="auto"/>
              <w:jc w:val="center"/>
            </w:pPr>
            <w:r>
              <w:rPr>
                <w:rFonts w:ascii="David" w:cs="David" w:eastAsia="David" w:hAnsi="David"/>
                <w:sz w:val="24"/>
                <w:szCs w:val="24"/>
                <w:rtl/>
              </w:rPr>
              <w:t xml:space="preserve">4</w:t>
            </w:r>
          </w:p>
        </w:tc>
        <w:tc>
          <w:tcPr>
            <w:tcW w:type="dxa" w:w="2200"/>
            <w:tcBorders>
              <w:top w:val="single" w:color="000000" w:sz="4"/>
              <w:left w:val="single" w:color="000000" w:sz="4"/>
              <w:bottom w:val="single" w:color="000000" w:sz="4"/>
              <w:right w:val="single" w:color="000000" w:sz="4"/>
            </w:tcBorders>
          </w:tcPr>
          <w:p>
            <w:pPr>
              <w:bidi/>
              <w:spacing w:after="40" w:before="0" w:line="360" w:lineRule="auto"/>
              <w:jc w:val="center"/>
            </w:pPr>
            <w:r>
              <w:rPr>
                <w:rFonts w:ascii="David" w:cs="David" w:eastAsia="David" w:hAnsi="David"/>
                <w:sz w:val="24"/>
                <w:szCs w:val="24"/>
                <w:rtl/>
              </w:rPr>
              <w:t xml:space="preserve">30.7.2026</w:t>
            </w:r>
          </w:p>
        </w:tc>
        <w:tc>
          <w:tcPr>
            <w:tcW w:type="dxa" w:w="3300"/>
            <w:tcBorders>
              <w:top w:val="single" w:color="000000" w:sz="4"/>
              <w:left w:val="single" w:color="000000" w:sz="4"/>
              <w:bottom w:val="single" w:color="000000" w:sz="4"/>
              <w:right w:val="single" w:color="000000" w:sz="4"/>
            </w:tcBorders>
          </w:tcPr>
          <w:p>
            <w:pPr>
              <w:bidi/>
              <w:spacing w:after="40" w:before="0" w:line="360" w:lineRule="auto"/>
              <w:jc w:val="center"/>
            </w:pPr>
            <w:r>
              <w:rPr>
                <w:rFonts w:ascii="David" w:cs="David" w:eastAsia="David" w:hAnsi="David"/>
                <w:sz w:val="24"/>
                <w:szCs w:val="24"/>
                <w:rtl/>
              </w:rPr>
              <w:t xml:space="preserve">ביום המפגש עצמו</w:t>
            </w:r>
          </w:p>
        </w:tc>
        <w:tc>
          <w:tcPr>
            <w:tcW w:type="dxa" w:w="2772"/>
            <w:tcBorders>
              <w:top w:val="single" w:color="000000" w:sz="4"/>
              <w:left w:val="single" w:color="000000" w:sz="4"/>
              <w:bottom w:val="single" w:color="000000" w:sz="4"/>
              <w:right w:val="single" w:color="000000" w:sz="4"/>
            </w:tcBorders>
          </w:tcPr>
          <w:p>
            <w:pPr>
              <w:bidi/>
              <w:spacing w:after="40" w:before="0" w:line="360" w:lineRule="auto"/>
              <w:jc w:val="center"/>
            </w:pPr>
            <w:r>
              <w:rPr>
                <w:rFonts w:ascii="David" w:cs="David" w:eastAsia="David" w:hAnsi="David"/>
                <w:sz w:val="24"/>
                <w:szCs w:val="24"/>
                <w:rtl/>
              </w:rPr>
              <w:t xml:space="preserve">לא נמסר</w:t>
            </w:r>
          </w:p>
        </w:tc>
      </w:tr>
      <w:tr>
        <w:tc>
          <w:tcPr>
            <w:tcW w:type="dxa" w:w="800"/>
            <w:tcBorders>
              <w:top w:val="single" w:color="000000" w:sz="4"/>
              <w:left w:val="single" w:color="000000" w:sz="4"/>
              <w:bottom w:val="single" w:color="000000" w:sz="4"/>
              <w:right w:val="single" w:color="000000" w:sz="4"/>
            </w:tcBorders>
          </w:tcPr>
          <w:p>
            <w:pPr>
              <w:bidi/>
              <w:spacing w:after="40" w:before="0" w:line="360" w:lineRule="auto"/>
              <w:jc w:val="center"/>
            </w:pPr>
            <w:r>
              <w:rPr>
                <w:rFonts w:ascii="David" w:cs="David" w:eastAsia="David" w:hAnsi="David"/>
                <w:sz w:val="24"/>
                <w:szCs w:val="24"/>
                <w:rtl/>
              </w:rPr>
              <w:t xml:space="preserve">5</w:t>
            </w:r>
          </w:p>
        </w:tc>
        <w:tc>
          <w:tcPr>
            <w:tcW w:type="dxa" w:w="2200"/>
            <w:tcBorders>
              <w:top w:val="single" w:color="000000" w:sz="4"/>
              <w:left w:val="single" w:color="000000" w:sz="4"/>
              <w:bottom w:val="single" w:color="000000" w:sz="4"/>
              <w:right w:val="single" w:color="000000" w:sz="4"/>
            </w:tcBorders>
          </w:tcPr>
          <w:p>
            <w:pPr>
              <w:bidi/>
              <w:spacing w:after="40" w:before="0" w:line="360" w:lineRule="auto"/>
              <w:jc w:val="center"/>
            </w:pPr>
            <w:r>
              <w:rPr>
                <w:rFonts w:ascii="David" w:cs="David" w:eastAsia="David" w:hAnsi="David"/>
                <w:sz w:val="24"/>
                <w:szCs w:val="24"/>
                <w:rtl/>
              </w:rPr>
              <w:t xml:space="preserve">2.8.2026</w:t>
            </w:r>
          </w:p>
        </w:tc>
        <w:tc>
          <w:tcPr>
            <w:tcW w:type="dxa" w:w="3300"/>
            <w:tcBorders>
              <w:top w:val="single" w:color="000000" w:sz="4"/>
              <w:left w:val="single" w:color="000000" w:sz="4"/>
              <w:bottom w:val="single" w:color="000000" w:sz="4"/>
              <w:right w:val="single" w:color="000000" w:sz="4"/>
            </w:tcBorders>
          </w:tcPr>
          <w:p>
            <w:pPr>
              <w:bidi/>
              <w:spacing w:after="40" w:before="0" w:line="360" w:lineRule="auto"/>
              <w:jc w:val="center"/>
            </w:pPr>
            <w:r>
              <w:rPr>
                <w:rFonts w:ascii="David" w:cs="David" w:eastAsia="David" w:hAnsi="David"/>
                <w:sz w:val="24"/>
                <w:szCs w:val="24"/>
                <w:rtl/>
              </w:rPr>
              <w:t xml:space="preserve">ביום המפגש עצמו</w:t>
            </w:r>
          </w:p>
        </w:tc>
        <w:tc>
          <w:tcPr>
            <w:tcW w:type="dxa" w:w="2772"/>
            <w:tcBorders>
              <w:top w:val="single" w:color="000000" w:sz="4"/>
              <w:left w:val="single" w:color="000000" w:sz="4"/>
              <w:bottom w:val="single" w:color="000000" w:sz="4"/>
              <w:right w:val="single" w:color="000000" w:sz="4"/>
            </w:tcBorders>
          </w:tcPr>
          <w:p>
            <w:pPr>
              <w:bidi/>
              <w:spacing w:after="40" w:before="0" w:line="360" w:lineRule="auto"/>
              <w:jc w:val="center"/>
            </w:pPr>
            <w:r>
              <w:rPr>
                <w:rFonts w:ascii="David" w:cs="David" w:eastAsia="David" w:hAnsi="David"/>
                <w:sz w:val="24"/>
                <w:szCs w:val="24"/>
                <w:rtl/>
              </w:rPr>
              <w:t xml:space="preserve">לא נמסר</w:t>
            </w:r>
          </w:p>
        </w:tc>
      </w:tr>
    </w:tbl>
    <w:p>
      <w:pPr>
        <w:bidi/>
        <w:spacing w:after="120" w:before="0" w:line="360" w:lineRule="auto"/>
        <w:jc w:val="both"/>
      </w:pPr>
      <w:r>
        <w:rPr>
          <w:rFonts w:ascii="David" w:cs="David" w:eastAsia="David" w:hAnsi="David"/>
          <w:sz w:val="24"/>
          <w:szCs w:val="24"/>
          <w:rtl/>
        </w:rPr>
        <w:t xml:space="preserve"/>
      </w:r>
    </w:p>
    <w:p>
      <w:pPr>
        <w:pStyle w:val="ListParagraph"/>
        <w:numPr>
          <w:ilvl w:val="0"/>
          <w:numId w:val="2"/>
        </w:numPr>
        <w:bidi/>
        <w:spacing w:after="160" w:line="360" w:lineRule="auto"/>
        <w:jc w:val="both"/>
      </w:pPr>
      <w:r>
        <w:rPr>
          <w:rFonts w:ascii="David" w:cs="David" w:eastAsia="David" w:hAnsi="David"/>
          <w:sz w:val="24"/>
          <w:szCs w:val="24"/>
          <w:rtl/>
        </w:rPr>
        <w:t xml:space="preserve">ודוק; בכל אחד מן המקרים דנא נמסרה הודעת המשיב על אי-הגעתו ביום המפגש עצמו — ולא קודם לכן — ובאף לא אחד מהם נמסר נימוק כלשהו. לא נטען לאילוץ, לא נטענה מניעה, ואף לא הוצע מועד חלופי תחת המפגש שבוטל.</w:t>
      </w:r>
    </w:p>
    <w:p>
      <w:pPr>
        <w:bidi/>
        <w:spacing w:after="160" w:before="0" w:line="360" w:lineRule="auto"/>
        <w:ind w:left="720"/>
        <w:jc w:val="both"/>
      </w:pPr>
      <w:r>
        <w:rPr>
          <w:rFonts w:ascii="David" w:cs="David" w:eastAsia="David" w:hAnsi="David"/>
          <w:sz w:val="24"/>
          <w:szCs w:val="24"/>
          <w:rtl/>
        </w:rPr>
        <w:t xml:space="preserve">מצ"ב העתקי הודעות המשיב, ומסומנים נספח ב'.</w:t>
      </w:r>
    </w:p>
    <w:p>
      <w:pPr>
        <w:pStyle w:val="ListParagraph"/>
        <w:numPr>
          <w:ilvl w:val="0"/>
          <w:numId w:val="2"/>
        </w:numPr>
        <w:bidi/>
        <w:spacing w:after="160" w:line="360" w:lineRule="auto"/>
        <w:jc w:val="both"/>
      </w:pPr>
      <w:r>
        <w:rPr>
          <w:rFonts w:ascii="David" w:cs="David" w:eastAsia="David" w:hAnsi="David"/>
          <w:sz w:val="24"/>
          <w:szCs w:val="24"/>
          <w:rtl/>
        </w:rPr>
        <w:t xml:space="preserve">למען שלמות התמונה יצוין כי המפגש שנקבע ליום 31.5.2026 בוטל ביוזמת המבקשת, בשל יציאה לנופש שתוכננה מראש, ועל כך נמסרה למשיב הודעה מבעוד מועד. אין באירוע יחיד זה כדי לגרוע מן האמור לעיל, ואף אין להשוות בין ביטול מתואם וידוע מראש לבין היעדרות חוזרת המתבשרת ביום המפגש גופו.</w:t>
      </w:r>
    </w:p>
    <w:p>
      <w:pPr>
        <w:bidi/>
        <w:spacing w:after="160" w:before="280" w:line="360" w:lineRule="auto"/>
        <w:jc w:val="start"/>
      </w:pPr>
      <w:r>
        <w:rPr>
          <w:rFonts w:ascii="David" w:cs="David" w:eastAsia="David" w:hAnsi="David"/>
          <w:b/>
          <w:bCs/>
          <w:sz w:val="24"/>
          <w:szCs w:val="24"/>
          <w:u w:val="single"/>
          <w:rtl/>
        </w:rPr>
        <w:t xml:space="preserve">ד. הפגיעה בקטינים</w:t>
      </w:r>
    </w:p>
    <w:p>
      <w:pPr>
        <w:pStyle w:val="ListParagraph"/>
        <w:numPr>
          <w:ilvl w:val="0"/>
          <w:numId w:val="2"/>
        </w:numPr>
        <w:bidi/>
        <w:spacing w:after="160" w:line="360" w:lineRule="auto"/>
        <w:jc w:val="both"/>
      </w:pPr>
      <w:r>
        <w:rPr>
          <w:rFonts w:ascii="David" w:cs="David" w:eastAsia="David" w:hAnsi="David"/>
          <w:sz w:val="24"/>
          <w:szCs w:val="24"/>
          <w:rtl/>
        </w:rPr>
        <w:t xml:space="preserve">זמני שהות אינם עניין שבנוחות ההורים, כי אם צורך של ממש של הקטינים. הוודאות בדבר מועד המפגש עם ההורה, והביטחון כי ההורה אכן יגיע, המה מאבני היסוד של תחושת היציבות של הקטין.</w:t>
      </w:r>
    </w:p>
    <w:p>
      <w:pPr>
        <w:pStyle w:val="ListParagraph"/>
        <w:numPr>
          <w:ilvl w:val="0"/>
          <w:numId w:val="2"/>
        </w:numPr>
        <w:bidi/>
        <w:spacing w:after="160" w:line="360" w:lineRule="auto"/>
        <w:jc w:val="both"/>
      </w:pPr>
      <w:r>
        <w:rPr>
          <w:rFonts w:ascii="David" w:cs="David" w:eastAsia="David" w:hAnsi="David"/>
          <w:sz w:val="24"/>
          <w:szCs w:val="24"/>
          <w:rtl/>
        </w:rPr>
        <w:t xml:space="preserve">התנהלות המשיב — לפיה יודעים הקטינים על המפגש מראש, מצפים לו ונערכים לקראתו, וזה מבוטל שעות ספורות בטרם קיומו — פוגעת ביציבותם ובוודאותם, ומסבה להם אכזבה ועוגמת נפש חוזרת ונשנית. פגיעה זו מצטברת; כל ביטול נוסף מקהה את אמונם של הקטינים בקביעותו של הקשר, ואף כופה על המבקשת ועליהם היערכות מחדש ברגע האחרון, שוב ושוב.</w:t>
      </w:r>
    </w:p>
    <w:p>
      <w:pPr>
        <w:bidi/>
        <w:spacing w:after="160" w:before="280" w:line="360" w:lineRule="auto"/>
        <w:jc w:val="start"/>
      </w:pPr>
      <w:r>
        <w:rPr>
          <w:rFonts w:ascii="David" w:cs="David" w:eastAsia="David" w:hAnsi="David"/>
          <w:b/>
          <w:bCs/>
          <w:sz w:val="24"/>
          <w:szCs w:val="24"/>
          <w:u w:val="single"/>
          <w:rtl/>
        </w:rPr>
        <w:t xml:space="preserve">ה. המסגרת הנורמטיבית</w:t>
      </w:r>
    </w:p>
    <w:p>
      <w:pPr>
        <w:pStyle w:val="ListParagraph"/>
        <w:numPr>
          <w:ilvl w:val="0"/>
          <w:numId w:val="2"/>
        </w:numPr>
        <w:bidi/>
        <w:spacing w:after="160" w:line="360" w:lineRule="auto"/>
        <w:jc w:val="both"/>
      </w:pPr>
      <w:r>
        <w:rPr>
          <w:rFonts w:ascii="David" w:cs="David" w:eastAsia="David" w:hAnsi="David"/>
          <w:sz w:val="24"/>
          <w:szCs w:val="24"/>
          <w:rtl/>
        </w:rPr>
        <w:t xml:space="preserve">סעיף 15 לחוק הכשרות המשפטית והאפוטרופסות, התשכ"ב-1962, מטיל על ההורים את החובה לדאוג לצרכי הקטין; וסעיף 17 לחוק קובע כי "באפוטרופסותם לקטין חייבים ההורים לנהוג לטובת הקטין כדרך שהורים מסורים היו נוהגים בנסיבות הענין".</w:t>
      </w:r>
    </w:p>
    <w:p>
      <w:pPr>
        <w:pStyle w:val="ListParagraph"/>
        <w:numPr>
          <w:ilvl w:val="0"/>
          <w:numId w:val="2"/>
        </w:numPr>
        <w:bidi/>
        <w:spacing w:after="160" w:line="360" w:lineRule="auto"/>
        <w:jc w:val="both"/>
      </w:pPr>
      <w:r>
        <w:rPr>
          <w:rFonts w:ascii="David" w:cs="David" w:eastAsia="David" w:hAnsi="David"/>
          <w:sz w:val="24"/>
          <w:szCs w:val="24"/>
          <w:rtl/>
        </w:rPr>
        <w:t xml:space="preserve">הלכה מושרשת היא כי זמני השהות אינם זכותו של ההורה בלבד, כי אם בראש ובראשונה זכותו של הקטין לקשר רציף, יציב וצפוי עם שני הוריו. ברוח זו מורה אף סעיף 9(3) לאמנה בדבר זכויות הילד, שישראל צד לה, המכיר בזכותו של ילד המופרד מהורהו לקיים עמו קשר אישי ומגע ישיר באופן סדיר.</w:t>
      </w:r>
    </w:p>
    <w:p>
      <w:pPr>
        <w:pStyle w:val="ListParagraph"/>
        <w:numPr>
          <w:ilvl w:val="0"/>
          <w:numId w:val="2"/>
        </w:numPr>
        <w:bidi/>
        <w:spacing w:after="160" w:line="360" w:lineRule="auto"/>
        <w:jc w:val="both"/>
      </w:pPr>
      <w:r>
        <w:rPr>
          <w:rFonts w:ascii="David" w:cs="David" w:eastAsia="David" w:hAnsi="David"/>
          <w:sz w:val="24"/>
          <w:szCs w:val="24"/>
          <w:rtl/>
        </w:rPr>
        <w:t xml:space="preserve">משנקבעו זמני השהות בהחלטה שיפוטית, שוב אין הם נתונים לשיקול דעתו החד-צדדי של מי מן ההורים. החלטה שיפוטית אינה בגדר המלצה, וקיומה אינו מותנה בנוחותו של בעל דין. הדרך לשנות מזמני השהות עוברת בהידברות בין ההורים ובפנייה לבית המשפט הנכבד — ולא בהודעה חד-צדדית ביום המפגש.</w:t>
      </w:r>
    </w:p>
    <w:p>
      <w:pPr>
        <w:pStyle w:val="ListParagraph"/>
        <w:numPr>
          <w:ilvl w:val="0"/>
          <w:numId w:val="2"/>
        </w:numPr>
        <w:bidi/>
        <w:spacing w:after="160" w:line="360" w:lineRule="auto"/>
        <w:jc w:val="both"/>
      </w:pPr>
      <w:r>
        <w:rPr>
          <w:rFonts w:ascii="David" w:cs="David" w:eastAsia="David" w:hAnsi="David"/>
          <w:sz w:val="24"/>
          <w:szCs w:val="24"/>
          <w:rtl/>
        </w:rPr>
        <w:t xml:space="preserve">סעיף 6 לפקודת ביזיון בית המשפט מסמיך את בית המשפט לענייני משפחה לכוף בקנס או במאסר את הציות לצו שניתן על ידו. אכן, סעד זה הוא סעד שיורי שיש לנקוט בו במשורה, ובפרט בהליכים הנוגעים לקטינים; ואולם בשלב זה אין המבקשת עותרת להפעלתו, כי אם להבהרה בלבד — כי הפרה נוספת של ההחלטה, ללא הצדקה, עלולה להוליך לנקיטת הליכי אכיפה בהתאם לדין.</w:t>
      </w:r>
    </w:p>
    <w:p>
      <w:pPr>
        <w:pStyle w:val="ListParagraph"/>
        <w:numPr>
          <w:ilvl w:val="0"/>
          <w:numId w:val="2"/>
        </w:numPr>
        <w:bidi/>
        <w:spacing w:after="160" w:line="360" w:lineRule="auto"/>
        <w:jc w:val="both"/>
      </w:pPr>
      <w:r>
        <w:rPr>
          <w:rFonts w:ascii="David" w:cs="David" w:eastAsia="David" w:hAnsi="David"/>
          <w:sz w:val="24"/>
          <w:szCs w:val="24"/>
          <w:rtl/>
        </w:rPr>
        <w:t xml:space="preserve">בקשה זו מוגשת בהתאם לתקנה 50 לתקנות סדר הדין האזרחי, התשע"ט-2018, ונתמכת בתצהיר המבקשת לאימות העובדות המפורטות בה.</w:t>
      </w:r>
    </w:p>
    <w:p>
      <w:pPr>
        <w:bidi/>
        <w:spacing w:after="160" w:before="280" w:line="360" w:lineRule="auto"/>
        <w:jc w:val="start"/>
      </w:pPr>
      <w:r>
        <w:rPr>
          <w:rFonts w:ascii="David" w:cs="David" w:eastAsia="David" w:hAnsi="David"/>
          <w:b/>
          <w:bCs/>
          <w:sz w:val="24"/>
          <w:szCs w:val="24"/>
          <w:u w:val="single"/>
          <w:rtl/>
        </w:rPr>
        <w:t xml:space="preserve">ו. מן הכלל אל הפרט</w:t>
      </w:r>
    </w:p>
    <w:p>
      <w:pPr>
        <w:pStyle w:val="ListParagraph"/>
        <w:numPr>
          <w:ilvl w:val="0"/>
          <w:numId w:val="2"/>
        </w:numPr>
        <w:bidi/>
        <w:spacing w:after="160" w:line="360" w:lineRule="auto"/>
        <w:jc w:val="both"/>
      </w:pPr>
      <w:r>
        <w:rPr>
          <w:rFonts w:ascii="David" w:cs="David" w:eastAsia="David" w:hAnsi="David"/>
          <w:sz w:val="24"/>
          <w:szCs w:val="24"/>
          <w:rtl/>
        </w:rPr>
        <w:t xml:space="preserve">בענייננו, מתוך חמישה-עשר מפגשים שנקבעו מאז ההחלטה התקיימו תשעה בלבד, בעוד חמישה מהם ירדו לטמיון בשל אי-התייצבות המשיב. אין המדובר בשיעור זניח של ביטולים, כי אם בכשליש ממסכת המפגשים כולה.</w:t>
      </w:r>
    </w:p>
    <w:p>
      <w:pPr>
        <w:pStyle w:val="ListParagraph"/>
        <w:numPr>
          <w:ilvl w:val="0"/>
          <w:numId w:val="2"/>
        </w:numPr>
        <w:bidi/>
        <w:spacing w:after="160" w:line="360" w:lineRule="auto"/>
        <w:jc w:val="both"/>
      </w:pPr>
      <w:r>
        <w:rPr>
          <w:rFonts w:ascii="David" w:cs="David" w:eastAsia="David" w:hAnsi="David"/>
          <w:sz w:val="24"/>
          <w:szCs w:val="24"/>
          <w:rtl/>
        </w:rPr>
        <w:t xml:space="preserve">ודוק; חומרתה של ההתנהלות דנא אינה נעוצה אך במספר ההיעדרויות, כי אם במועד מסירתן של ההודעות ובהיעדרו של כל טעם. משנמסרה ההודעה ביום המפגש עצמו, בא כל ביטול לאחר שהקטינים כבר ציפו למפגש ונערכו לקראתו, ונשללה מהם ומן המבקשת כאחד כל אפשרות להיערך מראש.</w:t>
      </w:r>
    </w:p>
    <w:p>
      <w:pPr>
        <w:pStyle w:val="ListParagraph"/>
        <w:numPr>
          <w:ilvl w:val="0"/>
          <w:numId w:val="2"/>
        </w:numPr>
        <w:bidi/>
        <w:spacing w:after="160" w:line="360" w:lineRule="auto"/>
        <w:jc w:val="both"/>
      </w:pPr>
      <w:r>
        <w:rPr>
          <w:rFonts w:ascii="David" w:cs="David" w:eastAsia="David" w:hAnsi="David"/>
          <w:sz w:val="24"/>
          <w:szCs w:val="24"/>
          <w:rtl/>
        </w:rPr>
        <w:t xml:space="preserve">מבלי לגרוע מן האמור, גם אילו עמדו למשיב טעמים ממשיים למי מהיעדרויותיו — ואין זה המצב, שכן לא נמסר כל נימוק — ממילא לא היה בכך כדי להכשיר ביטול חד-צדדי חוזר, ללא הודעה מוקדמת וללא הצעת מועד חלופי.</w:t>
      </w:r>
    </w:p>
    <w:p>
      <w:pPr>
        <w:pStyle w:val="ListParagraph"/>
        <w:numPr>
          <w:ilvl w:val="0"/>
          <w:numId w:val="2"/>
        </w:numPr>
        <w:bidi/>
        <w:spacing w:after="160" w:line="360" w:lineRule="auto"/>
        <w:jc w:val="both"/>
      </w:pPr>
      <w:r>
        <w:rPr>
          <w:rFonts w:ascii="David" w:cs="David" w:eastAsia="David" w:hAnsi="David"/>
          <w:sz w:val="24"/>
          <w:szCs w:val="24"/>
          <w:rtl/>
        </w:rPr>
        <w:t xml:space="preserve">לפיכך נדרשת התערבותו של בית המשפט הנכבד — לא לשם ענישה, כי אם לשם השבת הוודאות לקטינים ולהבטחת קיומם הסדיר של זמני השהות כמצוות ההחלטה.</w:t>
      </w:r>
    </w:p>
    <w:p>
      <w:pPr>
        <w:bidi/>
        <w:spacing w:after="160" w:before="280" w:line="360" w:lineRule="auto"/>
        <w:jc w:val="start"/>
      </w:pPr>
      <w:r>
        <w:rPr>
          <w:rFonts w:ascii="David" w:cs="David" w:eastAsia="David" w:hAnsi="David"/>
          <w:b/>
          <w:bCs/>
          <w:sz w:val="24"/>
          <w:szCs w:val="24"/>
          <w:u w:val="single"/>
          <w:rtl/>
        </w:rPr>
        <w:t xml:space="preserve">ז. סיכום</w:t>
      </w:r>
    </w:p>
    <w:p>
      <w:pPr>
        <w:bidi/>
        <w:spacing w:after="60" w:before="0" w:line="360" w:lineRule="auto"/>
        <w:ind w:left="1080" w:hanging="360"/>
        <w:jc w:val="both"/>
      </w:pPr>
      <w:r>
        <w:rPr>
          <w:rFonts w:ascii="David" w:cs="David" w:eastAsia="David" w:hAnsi="David"/>
          <w:sz w:val="24"/>
          <w:szCs w:val="24"/>
          <w:rtl/>
        </w:rPr>
        <w:t xml:space="preserve">א.	זמני השהות נקבעו בהחלטה שיפוטית מחייבת, ואינם נתונים לשינוי חד-צדדי.</w:t>
      </w:r>
    </w:p>
    <w:p>
      <w:pPr>
        <w:bidi/>
        <w:spacing w:after="60" w:before="0" w:line="360" w:lineRule="auto"/>
        <w:ind w:left="1080" w:hanging="360"/>
        <w:jc w:val="both"/>
      </w:pPr>
      <w:r>
        <w:rPr>
          <w:rFonts w:ascii="David" w:cs="David" w:eastAsia="David" w:hAnsi="David"/>
          <w:sz w:val="24"/>
          <w:szCs w:val="24"/>
          <w:rtl/>
        </w:rPr>
        <w:t xml:space="preserve">ב.	מתוך חמישה-עשר מפגשים שנקבעו התקיימו תשעה בלבד; חמישה לא התקיימו בשל אי-התייצבות המשיב.</w:t>
      </w:r>
    </w:p>
    <w:p>
      <w:pPr>
        <w:bidi/>
        <w:spacing w:after="60" w:before="0" w:line="360" w:lineRule="auto"/>
        <w:ind w:left="1080" w:hanging="360"/>
        <w:jc w:val="both"/>
      </w:pPr>
      <w:r>
        <w:rPr>
          <w:rFonts w:ascii="David" w:cs="David" w:eastAsia="David" w:hAnsi="David"/>
          <w:sz w:val="24"/>
          <w:szCs w:val="24"/>
          <w:rtl/>
        </w:rPr>
        <w:t xml:space="preserve">ג.	ההודעות על אי-ההגעה נמסרו ביום המפגש עצמו, וללא כל נימוק.</w:t>
      </w:r>
    </w:p>
    <w:p>
      <w:pPr>
        <w:bidi/>
        <w:spacing w:after="60" w:before="0" w:line="360" w:lineRule="auto"/>
        <w:ind w:left="1080" w:hanging="360"/>
        <w:jc w:val="both"/>
      </w:pPr>
      <w:r>
        <w:rPr>
          <w:rFonts w:ascii="David" w:cs="David" w:eastAsia="David" w:hAnsi="David"/>
          <w:sz w:val="24"/>
          <w:szCs w:val="24"/>
          <w:rtl/>
        </w:rPr>
        <w:t xml:space="preserve">ד.	התנהלות זו מהווה הפרה חוזרת של ההחלטה, ופוגעת ביציבותם ובוודאותם של הקטינים.</w:t>
      </w:r>
    </w:p>
    <w:p>
      <w:pPr>
        <w:bidi/>
        <w:spacing w:after="160" w:before="0" w:line="360" w:lineRule="auto"/>
        <w:ind w:left="1080" w:hanging="360"/>
        <w:jc w:val="both"/>
      </w:pPr>
      <w:r>
        <w:rPr>
          <w:rFonts w:ascii="David" w:cs="David" w:eastAsia="David" w:hAnsi="David"/>
          <w:sz w:val="24"/>
          <w:szCs w:val="24"/>
          <w:rtl/>
        </w:rPr>
        <w:t xml:space="preserve">ה.	הסעד המבוקש מידתי, ומכוון לקיום ההחלטה כלשונה ולא מעבר לכך.</w:t>
      </w:r>
    </w:p>
    <w:p>
      <w:pPr>
        <w:bidi/>
        <w:spacing w:after="160" w:before="280" w:line="360" w:lineRule="auto"/>
        <w:jc w:val="start"/>
      </w:pPr>
      <w:r>
        <w:rPr>
          <w:rFonts w:ascii="David" w:cs="David" w:eastAsia="David" w:hAnsi="David"/>
          <w:b/>
          <w:bCs/>
          <w:sz w:val="24"/>
          <w:szCs w:val="24"/>
          <w:u w:val="single"/>
          <w:rtl/>
        </w:rPr>
        <w:t xml:space="preserve">ח. הסעדים המבוקשים</w:t>
      </w:r>
    </w:p>
    <w:p>
      <w:pPr>
        <w:bidi/>
        <w:spacing w:after="160" w:before="0" w:line="360" w:lineRule="auto"/>
        <w:jc w:val="both"/>
      </w:pPr>
      <w:r>
        <w:rPr>
          <w:rFonts w:ascii="David" w:cs="David" w:eastAsia="David" w:hAnsi="David"/>
          <w:sz w:val="24"/>
          <w:szCs w:val="24"/>
          <w:rtl/>
        </w:rPr>
        <w:t xml:space="preserve">אשר על כל המקובץ לעיל, מתבקש בית המשפט הנכבד:</w:t>
      </w:r>
    </w:p>
    <w:p>
      <w:pPr>
        <w:bidi/>
        <w:spacing w:after="100" w:before="0" w:line="360" w:lineRule="auto"/>
        <w:ind w:left="1080" w:hanging="360"/>
        <w:jc w:val="both"/>
      </w:pPr>
      <w:r>
        <w:rPr>
          <w:rFonts w:ascii="David" w:cs="David" w:eastAsia="David" w:hAnsi="David"/>
          <w:sz w:val="24"/>
          <w:szCs w:val="24"/>
          <w:rtl/>
        </w:rPr>
        <w:t xml:space="preserve">א.	להורות למשיב לקיים את זמני השהות שנקבעו בהחלטה, במלואם וכסדרם, ולהימנע מביטולם או משינוים באופן חד-צדדי;</w:t>
      </w:r>
    </w:p>
    <w:p>
      <w:pPr>
        <w:bidi/>
        <w:spacing w:after="100" w:before="0" w:line="360" w:lineRule="auto"/>
        <w:ind w:left="1080" w:hanging="360"/>
        <w:jc w:val="both"/>
      </w:pPr>
      <w:r>
        <w:rPr>
          <w:rFonts w:ascii="David" w:cs="David" w:eastAsia="David" w:hAnsi="David"/>
          <w:sz w:val="24"/>
          <w:szCs w:val="24"/>
          <w:rtl/>
        </w:rPr>
        <w:t xml:space="preserve">ב.	להורות כי כל בקשה לשינוי מועד מפגש או לביטולו תימסר למבקשת בכתב, לפחות 48 שעות מראש ובצירוף נימוק, למעט במקרה של אילוץ פתאומי ובלתי צפוי;</w:t>
      </w:r>
    </w:p>
    <w:p>
      <w:pPr>
        <w:bidi/>
        <w:spacing w:after="100" w:before="0" w:line="360" w:lineRule="auto"/>
        <w:ind w:left="1080" w:hanging="360"/>
        <w:jc w:val="both"/>
      </w:pPr>
      <w:r>
        <w:rPr>
          <w:rFonts w:ascii="David" w:cs="David" w:eastAsia="David" w:hAnsi="David"/>
          <w:sz w:val="24"/>
          <w:szCs w:val="24"/>
          <w:rtl/>
        </w:rPr>
        <w:t xml:space="preserve">ג.	להורות כי מפגש שלא התקיים יושלם במועד חלופי קרוב, שייקבע בתוך ______________ ימים ממועד הביטול;</w:t>
      </w:r>
    </w:p>
    <w:p>
      <w:pPr>
        <w:bidi/>
        <w:spacing w:after="100" w:before="0" w:line="360" w:lineRule="auto"/>
        <w:ind w:left="1080" w:hanging="360"/>
        <w:jc w:val="both"/>
      </w:pPr>
      <w:r>
        <w:rPr>
          <w:rFonts w:ascii="David" w:cs="David" w:eastAsia="David" w:hAnsi="David"/>
          <w:sz w:val="24"/>
          <w:szCs w:val="24"/>
          <w:rtl/>
        </w:rPr>
        <w:t xml:space="preserve">ד.	להבהיר למשיב כי הפרה נוספת של זמני השהות, ללא הצדקה, עלולה להביא לנקיטת סנקציות בהתאם לדין, לרבות לפי פקודת ביזיון בית המשפט;</w:t>
      </w:r>
    </w:p>
    <w:p>
      <w:pPr>
        <w:bidi/>
        <w:spacing w:after="100" w:before="0" w:line="360" w:lineRule="auto"/>
        <w:ind w:left="1080" w:hanging="360"/>
        <w:jc w:val="both"/>
      </w:pPr>
      <w:r>
        <w:rPr>
          <w:rFonts w:ascii="David" w:cs="David" w:eastAsia="David" w:hAnsi="David"/>
          <w:sz w:val="24"/>
          <w:szCs w:val="24"/>
          <w:rtl/>
        </w:rPr>
        <w:t xml:space="preserve">ה.	להורות על הפניית הצדדים ליחידת הסיוע שליד בית המשפט הנכבד, ו/או על קבלת תסקיר מאת עובד סוציאלי לסדרי דין, ככל שימצא בית המשפט הנכבד לנכון;</w:t>
      </w:r>
    </w:p>
    <w:p>
      <w:pPr>
        <w:bidi/>
        <w:spacing w:after="100" w:before="0" w:line="360" w:lineRule="auto"/>
        <w:ind w:left="1080" w:hanging="360"/>
        <w:jc w:val="both"/>
      </w:pPr>
      <w:r>
        <w:rPr>
          <w:rFonts w:ascii="David" w:cs="David" w:eastAsia="David" w:hAnsi="David"/>
          <w:sz w:val="24"/>
          <w:szCs w:val="24"/>
          <w:rtl/>
        </w:rPr>
        <w:t xml:space="preserve">ו.	לחייב את המשיב בהוצאות הבקשה ובשכר טרחת עורך דין;</w:t>
      </w:r>
    </w:p>
    <w:p>
      <w:pPr>
        <w:bidi/>
        <w:spacing w:after="200" w:before="0" w:line="360" w:lineRule="auto"/>
        <w:ind w:left="1080" w:hanging="360"/>
        <w:jc w:val="both"/>
      </w:pPr>
      <w:r>
        <w:rPr>
          <w:rFonts w:ascii="David" w:cs="David" w:eastAsia="David" w:hAnsi="David"/>
          <w:sz w:val="24"/>
          <w:szCs w:val="24"/>
          <w:rtl/>
        </w:rPr>
        <w:t xml:space="preserve">ז.	ליתן כל סעד אחר ונוסף שימצא בית המשפט הנכבד לנכון וצודק בנסיבות העניין.</w:t>
      </w:r>
    </w:p>
    <w:p>
      <w:pPr>
        <w:bidi/>
        <w:spacing w:after="400" w:before="0" w:line="360" w:lineRule="auto"/>
        <w:jc w:val="both"/>
      </w:pPr>
      <w:r>
        <w:rPr>
          <w:rFonts w:ascii="David" w:cs="David" w:eastAsia="David" w:hAnsi="David"/>
          <w:sz w:val="24"/>
          <w:szCs w:val="24"/>
          <w:rtl/>
        </w:rPr>
        <w:t xml:space="preserve">בקשה זו נתמכת בתצהיר המבקשת המצורף אליה.</w:t>
      </w:r>
    </w:p>
    <w:p>
      <w:pPr>
        <w:bidi/>
        <w:spacing w:after="400" w:before="0" w:line="360" w:lineRule="auto"/>
        <w:jc w:val="start"/>
      </w:pPr>
      <w:r>
        <w:rPr>
          <w:rFonts w:ascii="David" w:cs="David" w:eastAsia="David" w:hAnsi="David"/>
          <w:sz w:val="24"/>
          <w:szCs w:val="24"/>
          <w:rtl/>
        </w:rPr>
        <w:t xml:space="preserve">תאריך: ______________</w:t>
      </w:r>
    </w:p>
    <w:p>
      <w:pPr>
        <w:bidi/>
        <w:spacing w:after="0" w:before="0" w:line="360" w:lineRule="auto"/>
        <w:jc w:val="end"/>
      </w:pPr>
      <w:r>
        <w:rPr>
          <w:rFonts w:ascii="David" w:cs="David" w:eastAsia="David" w:hAnsi="David"/>
          <w:sz w:val="24"/>
          <w:szCs w:val="24"/>
          <w:rtl/>
        </w:rPr>
        <w:t xml:space="preserve">_______________________</w:t>
      </w:r>
    </w:p>
    <w:p>
      <w:pPr>
        <w:bidi/>
        <w:spacing w:after="0" w:before="0" w:line="360" w:lineRule="auto"/>
        <w:jc w:val="end"/>
      </w:pPr>
      <w:r>
        <w:rPr>
          <w:rFonts w:ascii="David" w:cs="David" w:eastAsia="David" w:hAnsi="David"/>
          <w:sz w:val="24"/>
          <w:szCs w:val="24"/>
          <w:rtl/>
        </w:rPr>
        <w:t xml:space="preserve">סולומון טקה, עו"ד</w:t>
      </w:r>
    </w:p>
    <w:p>
      <w:pPr>
        <w:bidi/>
        <w:spacing w:after="0" w:before="0" w:line="360" w:lineRule="auto"/>
        <w:jc w:val="end"/>
      </w:pPr>
      <w:r>
        <w:rPr>
          <w:rFonts w:ascii="David" w:cs="David" w:eastAsia="David" w:hAnsi="David"/>
          <w:sz w:val="24"/>
          <w:szCs w:val="24"/>
          <w:rtl/>
        </w:rPr>
        <w:t xml:space="preserve">ב"כ המבקשת</w:t>
      </w:r>
    </w:p>
    <w:sectPr>
      <w:footerReference w:type="default" r:id="rId7"/>
      <w:pgSz w:w="11906" w:h="16838" w:orient="portrait"/>
      <w:pgMar w:top="850" w:right="1417" w:bottom="646"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720" w:hanging="360"/>
      </w:pPr>
      <w:rPr>
        <w:rFonts w:ascii="David" w:cs="David" w:eastAsia="David" w:hAnsi="David"/>
        <w:sz w:val="24"/>
        <w:szCs w:val="24"/>
        <w:rtl/>
      </w:rPr>
    </w:lvl>
  </w:abstractNum>
  <w:abstractNum w:abstractNumId="3" w15:restartNumberingAfterBreak="0">
    <w:multiLevelType w:val="hybridMultilevel"/>
    <w:lvl w:ilvl="0" w15:tentative="1">
      <w:start w:val="1"/>
      <w:numFmt w:val="decimal"/>
      <w:suff w:val="tab"/>
      <w:lvlText w:val="%1."/>
      <w:lvlJc w:val="start"/>
      <w:pPr>
        <w:ind w:left="720" w:hanging="360"/>
      </w:pPr>
      <w:rPr>
        <w:rFonts w:ascii="David" w:cs="David" w:eastAsia="David" w:hAnsi="David"/>
        <w:sz w:val="24"/>
        <w:szCs w:val="24"/>
        <w:rt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pPr>
        <w:bidi/>
        <w:spacing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2026-08-12T14:14:15.033Z</dcterms:created>
  <dcterms:modified xsi:type="dcterms:W3CDTF">2026-08-12T14:14:15.033Z</dcterms:modified>
</cp:coreProperties>
</file>

<file path=docProps/custom.xml><?xml version="1.0" encoding="utf-8"?>
<Properties xmlns="http://schemas.openxmlformats.org/officeDocument/2006/custom-properties" xmlns:vt="http://schemas.openxmlformats.org/officeDocument/2006/docPropsVTypes"/>
</file>