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240" w:before="0" w:line="240" w:lineRule="auto"/>
        <w:jc w:val="right"/>
      </w:pPr>
      <w:r>
        <w:rPr>
          <w:b w:val="0"/>
          <w:sz w:val="24"/>
          <w:u w:val="none"/>
          <w:rtl/>
          <w:szCs w:val="24"/>
        </w:rPr>
        <w:t>24/9/26</w:t>
      </w:r>
    </w:p>
    <w:p>
      <w:pPr>
        <w:bidi/>
        <w:spacing w:after="240" w:before="0" w:line="240" w:lineRule="auto"/>
        <w:jc w:val="left"/>
      </w:pPr>
      <w:r>
        <w:rPr>
          <w:b/>
          <w:sz w:val="24"/>
          <w:u w:val="none"/>
          <w:rtl/>
          <w:bCs/>
          <w:szCs w:val="24"/>
        </w:rPr>
        <w:t>בבית הדין הרבני בפתח תקווה</w:t>
      </w:r>
    </w:p>
    <w:p>
      <w:pPr>
        <w:bidi/>
        <w:spacing w:after="0" w:before="0" w:line="240" w:lineRule="auto"/>
        <w:jc w:val="left"/>
      </w:pPr>
      <w:r>
        <w:rPr>
          <w:b/>
          <w:sz w:val="24"/>
          <w:u w:val="none"/>
          <w:rtl/>
          <w:bCs/>
          <w:szCs w:val="24"/>
        </w:rPr>
        <w:t>תיקים: 739403/7; 739402/8</w:t>
      </w:r>
    </w:p>
    <w:p>
      <w:pPr>
        <w:bidi/>
        <w:spacing w:after="480" w:before="0" w:line="240" w:lineRule="auto"/>
        <w:jc w:val="left"/>
      </w:pPr>
      <w:r>
        <w:rPr>
          <w:b/>
          <w:sz w:val="24"/>
          <w:u w:val="none"/>
          <w:rtl/>
          <w:bCs/>
          <w:szCs w:val="24"/>
        </w:rPr>
        <w:t>בפני כב' הדיינים</w:t>
      </w:r>
    </w:p>
    <w:p>
      <w:pPr>
        <w:tabs>
          <w:tab w:pos="2268" w:val="left"/>
        </w:tabs>
        <w:bidi/>
        <w:spacing w:after="240" w:before="0" w:line="240" w:lineRule="auto"/>
        <w:jc w:val="left"/>
      </w:pPr>
      <w:r>
        <w:rPr>
          <w:b/>
          <w:sz w:val="24"/>
          <w:u w:val="none"/>
          <w:rtl/>
          <w:bCs/>
          <w:szCs w:val="24"/>
        </w:rPr>
        <w:t>המבקש:</w:t>
      </w:r>
      <w:r>
        <w:rPr>
          <w:b w:val="0"/>
          <w:sz w:val="24"/>
          <w:u w:val="none"/>
          <w:rtl/>
          <w:szCs w:val="24"/>
        </w:rPr>
        <w:tab/>
      </w:r>
      <w:r>
        <w:rPr>
          <w:b/>
          <w:sz w:val="24"/>
          <w:u w:val="none"/>
          <w:rtl/>
          <w:bCs/>
          <w:szCs w:val="24"/>
        </w:rPr>
        <w:t>הבטה טגאדייה</w:t>
      </w:r>
      <w:r>
        <w:rPr>
          <w:b w:val="0"/>
          <w:sz w:val="24"/>
          <w:u w:val="none"/>
          <w:rtl/>
          <w:szCs w:val="24"/>
        </w:rPr>
        <w:t xml:space="preserve">, ת.ז </w:t>
      </w:r>
      <w:r>
        <w:rPr>
          <w:b/>
          <w:sz w:val="24"/>
          <w:u w:val="none"/>
          <w:rtl/>
          <w:bCs/>
          <w:szCs w:val="24"/>
        </w:rPr>
        <w:t>309787216</w:t>
      </w:r>
    </w:p>
    <w:p>
      <w:pPr>
        <w:tabs>
          <w:tab w:pos="2268" w:val="left"/>
        </w:tabs>
        <w:bidi/>
        <w:spacing w:after="240" w:before="0" w:line="240" w:lineRule="auto"/>
        <w:jc w:val="left"/>
      </w:pPr>
      <w:r>
        <w:rPr>
          <w:b w:val="0"/>
          <w:sz w:val="24"/>
          <w:u w:val="none"/>
          <w:rtl/>
          <w:szCs w:val="24"/>
        </w:rPr>
        <w:tab/>
        <w:t>ע"י ב"כ עו"ד סולומון טקה</w:t>
      </w:r>
    </w:p>
    <w:p>
      <w:pPr>
        <w:tabs>
          <w:tab w:pos="2268" w:val="left"/>
          <w:tab w:pos="3402" w:val="left"/>
        </w:tabs>
        <w:bidi/>
        <w:spacing w:after="240" w:before="0" w:line="240" w:lineRule="auto"/>
        <w:jc w:val="left"/>
      </w:pPr>
      <w:r>
        <w:rPr>
          <w:b w:val="0"/>
          <w:sz w:val="24"/>
          <w:u w:val="none"/>
          <w:rtl/>
          <w:szCs w:val="24"/>
        </w:rPr>
        <w:tab/>
        <w:tab/>
        <w:t>נגד</w:t>
      </w:r>
    </w:p>
    <w:p>
      <w:pPr>
        <w:tabs>
          <w:tab w:pos="2268" w:val="left"/>
        </w:tabs>
        <w:bidi/>
        <w:spacing w:after="240" w:before="0" w:line="240" w:lineRule="auto"/>
        <w:jc w:val="left"/>
      </w:pPr>
      <w:r>
        <w:rPr>
          <w:b/>
          <w:sz w:val="24"/>
          <w:u w:val="none"/>
          <w:rtl/>
          <w:bCs/>
          <w:szCs w:val="24"/>
        </w:rPr>
        <w:t>המשיבה:</w:t>
      </w:r>
      <w:r>
        <w:rPr>
          <w:b w:val="0"/>
          <w:sz w:val="24"/>
          <w:u w:val="none"/>
          <w:rtl/>
          <w:szCs w:val="24"/>
        </w:rPr>
        <w:tab/>
      </w:r>
      <w:r>
        <w:rPr>
          <w:b/>
          <w:sz w:val="24"/>
          <w:u w:val="none"/>
          <w:rtl/>
          <w:bCs/>
          <w:szCs w:val="24"/>
        </w:rPr>
        <w:t>אביבה טגאדייה</w:t>
      </w:r>
      <w:r>
        <w:rPr>
          <w:b w:val="0"/>
          <w:sz w:val="24"/>
          <w:u w:val="none"/>
          <w:rtl/>
          <w:szCs w:val="24"/>
        </w:rPr>
        <w:t xml:space="preserve">, ת.ז </w:t>
      </w:r>
      <w:r>
        <w:rPr>
          <w:b/>
          <w:sz w:val="24"/>
          <w:u w:val="none"/>
          <w:rtl/>
          <w:bCs/>
          <w:szCs w:val="24"/>
        </w:rPr>
        <w:t>309816544</w:t>
      </w:r>
    </w:p>
    <w:p>
      <w:pPr>
        <w:tabs>
          <w:tab w:pos="2268" w:val="left"/>
        </w:tabs>
        <w:bidi/>
        <w:spacing w:after="600" w:before="0" w:line="240" w:lineRule="auto"/>
        <w:jc w:val="left"/>
      </w:pPr>
      <w:r>
        <w:rPr>
          <w:b w:val="0"/>
          <w:sz w:val="24"/>
          <w:u w:val="none"/>
          <w:rtl/>
          <w:szCs w:val="24"/>
        </w:rPr>
        <w:tab/>
        <w:t>באמצעות ב"כ עו"ד בלה צור</w:t>
      </w:r>
    </w:p>
    <w:p>
      <w:pPr>
        <w:bidi/>
        <w:spacing w:after="360" w:before="0" w:line="240" w:lineRule="auto"/>
        <w:jc w:val="center"/>
      </w:pPr>
      <w:r>
        <w:rPr>
          <w:b/>
          <w:sz w:val="32"/>
          <w:u w:val="single"/>
          <w:rtl/>
          <w:bCs/>
          <w:szCs w:val="32"/>
        </w:rPr>
        <w:t>בקשה דחופה להבהרה ולעיכוב הליכי הוצאה לפועל</w:t>
      </w:r>
    </w:p>
    <w:p>
      <w:pPr>
        <w:bidi/>
        <w:spacing w:after="240" w:before="0" w:line="360" w:lineRule="auto"/>
        <w:jc w:val="both"/>
      </w:pPr>
      <w:r>
        <w:rPr>
          <w:b w:val="0"/>
          <w:sz w:val="24"/>
          <w:u w:val="none"/>
          <w:rtl/>
          <w:szCs w:val="24"/>
        </w:rPr>
        <w:t>בית הדין הנכבד מתבקש להבהיר את מועד תחילת חיוב המבקש בדמי שכירות, ולעכב את הליכי ההוצאה לפועל שנפתחו נגדו, כמפורט להלן:</w:t>
      </w:r>
    </w:p>
    <w:p>
      <w:pPr>
        <w:bidi/>
        <w:spacing w:after="160" w:before="120" w:line="240" w:lineRule="auto"/>
        <w:jc w:val="left"/>
      </w:pPr>
      <w:r>
        <w:rPr>
          <w:b/>
          <w:sz w:val="24"/>
          <w:u w:val="single"/>
          <w:rtl/>
          <w:bCs/>
          <w:szCs w:val="24"/>
        </w:rPr>
        <w:t>א. מועד תחילת החיוב בדמי שכירות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1.</w:t>
        <w:tab/>
      </w:r>
      <w:r>
        <w:rPr>
          <w:b w:val="0"/>
          <w:sz w:val="24"/>
          <w:u w:val="none"/>
          <w:rtl/>
          <w:szCs w:val="24"/>
        </w:rPr>
        <w:t xml:space="preserve">בדיון מיום </w:t>
      </w:r>
      <w:r>
        <w:rPr>
          <w:b/>
          <w:sz w:val="24"/>
          <w:u w:val="none"/>
          <w:rtl/>
          <w:bCs/>
          <w:szCs w:val="24"/>
        </w:rPr>
        <w:t>22.6.2026</w:t>
      </w:r>
      <w:r>
        <w:rPr>
          <w:b w:val="0"/>
          <w:sz w:val="24"/>
          <w:u w:val="none"/>
          <w:rtl/>
          <w:szCs w:val="24"/>
        </w:rPr>
        <w:t xml:space="preserve"> נקבע כי המבקש ישלם לתובעת 40% מדמי השכירות.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2.</w:t>
        <w:tab/>
      </w:r>
      <w:r>
        <w:rPr>
          <w:b w:val="0"/>
          <w:sz w:val="24"/>
          <w:u w:val="none"/>
          <w:rtl/>
          <w:szCs w:val="24"/>
        </w:rPr>
        <w:t>לא נקבע ממתי חל החיוב, ואין על כך קביעה גם בפרוטוקול.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3.</w:t>
        <w:tab/>
      </w:r>
      <w:r>
        <w:rPr>
          <w:b w:val="0"/>
          <w:sz w:val="24"/>
          <w:u w:val="none"/>
          <w:rtl/>
          <w:szCs w:val="24"/>
        </w:rPr>
        <w:t>מתבקשת הבהרה: האם החיוב חל ממועד הדיון, ממועד ההחלטה או ממועד אחר.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4.</w:t>
        <w:tab/>
      </w:r>
      <w:r>
        <w:rPr>
          <w:b w:val="0"/>
          <w:sz w:val="24"/>
          <w:u w:val="none"/>
          <w:rtl/>
          <w:szCs w:val="24"/>
        </w:rPr>
        <w:t>בדיון התברר שהתובעת אינה זכאית לסיוע בשכר דירה לפי הדין החדש, כי הייתה בעלת דירה בחמש השנים האחרונות. ככל שיש לכך השפעה על החיוב, מתבקשת הבהרה.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5.</w:t>
        <w:tab/>
      </w:r>
      <w:r>
        <w:rPr>
          <w:b w:val="0"/>
          <w:sz w:val="24"/>
          <w:u w:val="none"/>
          <w:rtl/>
          <w:szCs w:val="24"/>
        </w:rPr>
        <w:t xml:space="preserve">עם זאת, התובעת יכולה לפנות לוועדת החריגים לדיור. יש לה נתונים תומכים: נכות כללית בשיעור </w:t>
      </w:r>
      <w:r>
        <w:rPr>
          <w:b/>
          <w:sz w:val="24"/>
          <w:u w:val="none"/>
          <w:rtl/>
          <w:bCs/>
          <w:szCs w:val="24"/>
        </w:rPr>
        <w:t>75%</w:t>
      </w:r>
      <w:r>
        <w:rPr>
          <w:b w:val="0"/>
          <w:sz w:val="24"/>
          <w:u w:val="none"/>
          <w:rtl/>
          <w:szCs w:val="24"/>
        </w:rPr>
        <w:t>, מכירת הדירה המשותפת לפני כשנה, היעדר דירה חלופית ומגורים בשכירות.</w:t>
      </w:r>
    </w:p>
    <w:p>
      <w:pPr>
        <w:bidi/>
        <w:spacing w:after="160" w:before="120" w:line="240" w:lineRule="auto"/>
        <w:jc w:val="left"/>
      </w:pPr>
      <w:r>
        <w:rPr>
          <w:b/>
          <w:sz w:val="24"/>
          <w:u w:val="single"/>
          <w:rtl/>
          <w:bCs/>
          <w:szCs w:val="24"/>
        </w:rPr>
        <w:t>ב. תיק ההוצאה לפועל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6.</w:t>
        <w:tab/>
      </w:r>
      <w:r>
        <w:rPr>
          <w:b w:val="0"/>
          <w:sz w:val="24"/>
          <w:u w:val="none"/>
          <w:rtl/>
          <w:szCs w:val="24"/>
        </w:rPr>
        <w:t xml:space="preserve">ביום </w:t>
      </w:r>
      <w:r>
        <w:rPr>
          <w:b/>
          <w:sz w:val="24"/>
          <w:u w:val="none"/>
          <w:rtl/>
          <w:bCs/>
          <w:szCs w:val="24"/>
        </w:rPr>
        <w:t>27.7.2026</w:t>
      </w:r>
      <w:r>
        <w:rPr>
          <w:b w:val="0"/>
          <w:sz w:val="24"/>
          <w:u w:val="none"/>
          <w:rtl/>
          <w:szCs w:val="24"/>
        </w:rPr>
        <w:t xml:space="preserve"> קיבל המבקש אזהרה על תיק הוצאה לפועל מס' </w:t>
      </w:r>
      <w:r>
        <w:rPr>
          <w:b/>
          <w:sz w:val="24"/>
          <w:u w:val="none"/>
          <w:rtl/>
          <w:bCs/>
          <w:szCs w:val="24"/>
        </w:rPr>
        <w:t>504656-07-26</w:t>
      </w:r>
      <w:r>
        <w:rPr>
          <w:b w:val="0"/>
          <w:sz w:val="24"/>
          <w:u w:val="none"/>
          <w:rtl/>
          <w:szCs w:val="24"/>
        </w:rPr>
        <w:t xml:space="preserve"> (מזונות), שפתחה התובעת ביום </w:t>
      </w:r>
      <w:r>
        <w:rPr>
          <w:b/>
          <w:sz w:val="24"/>
          <w:u w:val="none"/>
          <w:rtl/>
          <w:bCs/>
          <w:szCs w:val="24"/>
        </w:rPr>
        <w:t>5.7.2026</w:t>
      </w:r>
      <w:r>
        <w:rPr>
          <w:b w:val="0"/>
          <w:sz w:val="24"/>
          <w:u w:val="none"/>
          <w:rtl/>
          <w:szCs w:val="24"/>
        </w:rPr>
        <w:t xml:space="preserve"> על סך </w:t>
      </w:r>
      <w:r>
        <w:rPr>
          <w:b/>
          <w:sz w:val="24"/>
          <w:u w:val="none"/>
          <w:rtl/>
          <w:bCs/>
          <w:szCs w:val="24"/>
        </w:rPr>
        <w:t>20,615.70 ש"ח</w:t>
      </w:r>
      <w:r>
        <w:rPr>
          <w:b w:val="0"/>
          <w:sz w:val="24"/>
          <w:u w:val="none"/>
          <w:rtl/>
          <w:szCs w:val="24"/>
        </w:rPr>
        <w:t xml:space="preserve">, מכוח פסק הדין מיום </w:t>
      </w:r>
      <w:r>
        <w:rPr>
          <w:b/>
          <w:sz w:val="24"/>
          <w:u w:val="none"/>
          <w:rtl/>
          <w:bCs/>
          <w:szCs w:val="24"/>
        </w:rPr>
        <w:t>12.2.2026</w:t>
      </w:r>
      <w:r>
        <w:rPr>
          <w:b w:val="0"/>
          <w:sz w:val="24"/>
          <w:u w:val="none"/>
          <w:rtl/>
          <w:szCs w:val="24"/>
        </w:rPr>
        <w:t xml:space="preserve"> בתיק 739402/8 (</w:t>
      </w:r>
      <w:r>
        <w:rPr>
          <w:b/>
          <w:sz w:val="24"/>
          <w:u w:val="none"/>
          <w:rtl/>
          <w:bCs/>
          <w:szCs w:val="24"/>
        </w:rPr>
        <w:t>נספח א'</w:t>
      </w:r>
      <w:r>
        <w:rPr>
          <w:b w:val="0"/>
          <w:sz w:val="24"/>
          <w:u w:val="none"/>
          <w:rtl/>
          <w:szCs w:val="24"/>
        </w:rPr>
        <w:t>).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7.</w:t>
        <w:tab/>
      </w:r>
      <w:r>
        <w:rPr>
          <w:b w:val="0"/>
          <w:sz w:val="24"/>
          <w:u w:val="none"/>
          <w:rtl/>
          <w:szCs w:val="24"/>
        </w:rPr>
        <w:t xml:space="preserve">התובעת טוענת שלא קיבלה מדור. הטענה אינה נכונה: פסק הדין קבע </w:t>
      </w:r>
      <w:r>
        <w:rPr>
          <w:b/>
          <w:sz w:val="24"/>
          <w:u w:val="none"/>
          <w:rtl/>
          <w:bCs/>
          <w:szCs w:val="24"/>
        </w:rPr>
        <w:t>5,450 ש"ח</w:t>
      </w:r>
      <w:r>
        <w:rPr>
          <w:b w:val="0"/>
          <w:sz w:val="24"/>
          <w:u w:val="none"/>
          <w:rtl/>
          <w:szCs w:val="24"/>
        </w:rPr>
        <w:t xml:space="preserve"> לחודש כולל מדור, והמבקש משלם סכום זה במלואו מדי חודש.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8.</w:t>
        <w:tab/>
      </w:r>
      <w:r>
        <w:rPr>
          <w:b w:val="0"/>
          <w:sz w:val="24"/>
          <w:u w:val="none"/>
          <w:rtl/>
          <w:szCs w:val="24"/>
        </w:rPr>
        <w:t>ה-40% שנקבעו בדיון מיום 22.6.2026 אינם תוספת על סכום זה, אלא חלק ממנו.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9.</w:t>
        <w:tab/>
      </w:r>
      <w:r>
        <w:rPr>
          <w:b w:val="0"/>
          <w:sz w:val="24"/>
          <w:u w:val="none"/>
          <w:rtl/>
          <w:szCs w:val="24"/>
        </w:rPr>
        <w:t>בית הדין מעולם לא חייב את המבקש בתשלום רטרואקטיבי.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10.</w:t>
        <w:tab/>
      </w:r>
      <w:r>
        <w:rPr>
          <w:b w:val="0"/>
          <w:sz w:val="24"/>
          <w:u w:val="none"/>
          <w:rtl/>
          <w:szCs w:val="24"/>
        </w:rPr>
        <w:t xml:space="preserve">הסכום בשובר מעיד על גבייה רטרואקטיבית: השכירות היא </w:t>
      </w:r>
      <w:r>
        <w:rPr>
          <w:b/>
          <w:sz w:val="24"/>
          <w:u w:val="none"/>
          <w:rtl/>
          <w:bCs/>
          <w:szCs w:val="24"/>
        </w:rPr>
        <w:t>3,700 ש"ח</w:t>
      </w:r>
      <w:r>
        <w:rPr>
          <w:b w:val="0"/>
          <w:sz w:val="24"/>
          <w:u w:val="none"/>
          <w:rtl/>
          <w:szCs w:val="24"/>
        </w:rPr>
        <w:t xml:space="preserve"> (</w:t>
      </w:r>
      <w:r>
        <w:rPr>
          <w:b/>
          <w:sz w:val="24"/>
          <w:u w:val="none"/>
          <w:rtl/>
          <w:bCs/>
          <w:szCs w:val="24"/>
        </w:rPr>
        <w:t>נספח ב'</w:t>
      </w:r>
      <w:r>
        <w:rPr>
          <w:b w:val="0"/>
          <w:sz w:val="24"/>
          <w:u w:val="none"/>
          <w:rtl/>
          <w:szCs w:val="24"/>
        </w:rPr>
        <w:t xml:space="preserve">), 40% ממנה הם </w:t>
      </w:r>
      <w:r>
        <w:rPr>
          <w:b/>
          <w:sz w:val="24"/>
          <w:u w:val="none"/>
          <w:rtl/>
          <w:bCs/>
          <w:szCs w:val="24"/>
        </w:rPr>
        <w:t>1,480 ש"ח</w:t>
      </w:r>
      <w:r>
        <w:rPr>
          <w:b w:val="0"/>
          <w:sz w:val="24"/>
          <w:u w:val="none"/>
          <w:rtl/>
          <w:szCs w:val="24"/>
        </w:rPr>
        <w:t xml:space="preserve">, והחוב בשובר, </w:t>
      </w:r>
      <w:r>
        <w:rPr>
          <w:b/>
          <w:sz w:val="24"/>
          <w:u w:val="none"/>
          <w:rtl/>
          <w:bCs/>
          <w:szCs w:val="24"/>
        </w:rPr>
        <w:t>7,400 ש"ח</w:t>
      </w:r>
      <w:r>
        <w:rPr>
          <w:b w:val="0"/>
          <w:sz w:val="24"/>
          <w:u w:val="none"/>
          <w:rtl/>
          <w:szCs w:val="24"/>
        </w:rPr>
        <w:t>, שווה בדיוק לחמישה חודשים.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11.</w:t>
        <w:tab/>
      </w:r>
      <w:r>
        <w:rPr>
          <w:b w:val="0"/>
          <w:sz w:val="24"/>
          <w:u w:val="none"/>
          <w:rtl/>
          <w:szCs w:val="24"/>
        </w:rPr>
        <w:t xml:space="preserve">מסמכי התיק גם סותרים זה את זה: באזהרה החוב ביום הפתיחה הוא </w:t>
      </w:r>
      <w:r>
        <w:rPr>
          <w:b/>
          <w:sz w:val="24"/>
          <w:u w:val="none"/>
          <w:rtl/>
          <w:bCs/>
          <w:szCs w:val="24"/>
        </w:rPr>
        <w:t>20,535.61 ש"ח</w:t>
      </w:r>
      <w:r>
        <w:rPr>
          <w:b w:val="0"/>
          <w:sz w:val="24"/>
          <w:u w:val="none"/>
          <w:rtl/>
          <w:szCs w:val="24"/>
        </w:rPr>
        <w:t xml:space="preserve">, ובשובר </w:t>
      </w:r>
      <w:r>
        <w:rPr>
          <w:b/>
          <w:sz w:val="24"/>
          <w:u w:val="none"/>
          <w:rtl/>
          <w:bCs/>
          <w:szCs w:val="24"/>
        </w:rPr>
        <w:t>7,400 ש"ח</w:t>
      </w:r>
      <w:r>
        <w:rPr>
          <w:b w:val="0"/>
          <w:sz w:val="24"/>
          <w:u w:val="none"/>
          <w:rtl/>
          <w:szCs w:val="24"/>
        </w:rPr>
        <w:t>. לפער אין הסבר.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12.</w:t>
        <w:tab/>
      </w:r>
      <w:r>
        <w:rPr>
          <w:b w:val="0"/>
          <w:sz w:val="24"/>
          <w:u w:val="none"/>
          <w:rtl/>
          <w:szCs w:val="24"/>
        </w:rPr>
        <w:t>פתיחת תיק בגין חיוב המשולם בפועל היא שימוש לרעה בהליכי הוצאה לפועל. התיק חושף את המבקש להליכי גבייה בכל עת, ומכאן הדחיפות.</w:t>
      </w:r>
    </w:p>
    <w:p>
      <w:pPr>
        <w:tabs>
          <w:tab w:pos="425" w:val="left"/>
        </w:tabs>
        <w:bidi/>
        <w:spacing w:after="120" w:before="0" w:line="360" w:lineRule="auto"/>
        <w:ind w:right="425" w:hanging="425"/>
        <w:jc w:val="left"/>
      </w:pPr>
      <w:r>
        <w:rPr>
          <w:b w:val="0"/>
          <w:sz w:val="24"/>
          <w:u w:val="none"/>
          <w:rtl/>
          <w:szCs w:val="24"/>
        </w:rPr>
        <w:t>13.</w:t>
        <w:tab/>
      </w:r>
      <w:r>
        <w:rPr>
          <w:b w:val="0"/>
          <w:sz w:val="24"/>
          <w:u w:val="none"/>
          <w:rtl/>
          <w:szCs w:val="24"/>
        </w:rPr>
        <w:t>אשר על כן, מתבקש בית הדין הנכבד:</w:t>
      </w:r>
    </w:p>
    <w:p>
      <w:pPr>
        <w:tabs>
          <w:tab w:pos="850" w:val="left"/>
        </w:tabs>
        <w:bidi/>
        <w:spacing w:after="120" w:before="0" w:line="360" w:lineRule="auto"/>
        <w:ind w:right="850" w:hanging="425"/>
        <w:jc w:val="both"/>
      </w:pPr>
      <w:r>
        <w:rPr>
          <w:b w:val="0"/>
          <w:sz w:val="24"/>
          <w:u w:val="none"/>
          <w:rtl/>
          <w:szCs w:val="24"/>
        </w:rPr>
        <w:t>א.</w:t>
        <w:tab/>
      </w:r>
      <w:r>
        <w:rPr>
          <w:b w:val="0"/>
          <w:sz w:val="24"/>
          <w:u w:val="none"/>
          <w:rtl/>
          <w:szCs w:val="24"/>
        </w:rPr>
        <w:t>להבהיר את מועד תחילת החיוב ב-40% מדמי השכירות, ולקבוע כי אינו חל רטרואקטיבית.</w:t>
      </w:r>
    </w:p>
    <w:p>
      <w:pPr>
        <w:tabs>
          <w:tab w:pos="850" w:val="left"/>
        </w:tabs>
        <w:bidi/>
        <w:spacing w:after="120" w:before="0" w:line="360" w:lineRule="auto"/>
        <w:ind w:right="850" w:hanging="425"/>
        <w:jc w:val="both"/>
      </w:pPr>
      <w:r>
        <w:rPr>
          <w:b w:val="0"/>
          <w:sz w:val="24"/>
          <w:u w:val="none"/>
          <w:rtl/>
          <w:szCs w:val="24"/>
        </w:rPr>
        <w:t>ב.</w:t>
        <w:tab/>
      </w:r>
      <w:r>
        <w:rPr>
          <w:b w:val="0"/>
          <w:sz w:val="24"/>
          <w:u w:val="none"/>
          <w:rtl/>
          <w:szCs w:val="24"/>
        </w:rPr>
        <w:t>להצהיר כי אין למבקש חוב מדור לפי פסק הדין מיום 12.2.2026.</w:t>
      </w:r>
    </w:p>
    <w:p>
      <w:pPr>
        <w:tabs>
          <w:tab w:pos="850" w:val="left"/>
        </w:tabs>
        <w:bidi/>
        <w:spacing w:after="120" w:before="0" w:line="360" w:lineRule="auto"/>
        <w:ind w:right="850" w:hanging="425"/>
        <w:jc w:val="both"/>
      </w:pPr>
      <w:r>
        <w:rPr>
          <w:b w:val="0"/>
          <w:sz w:val="24"/>
          <w:u w:val="none"/>
          <w:rtl/>
          <w:szCs w:val="24"/>
        </w:rPr>
        <w:t>ג.</w:t>
        <w:tab/>
      </w:r>
      <w:r>
        <w:rPr>
          <w:b w:val="0"/>
          <w:sz w:val="24"/>
          <w:u w:val="none"/>
          <w:rtl/>
          <w:szCs w:val="24"/>
        </w:rPr>
        <w:t>לעכב את הליכי הגבייה בתיק ההוצאה לפועל מס' 504656-07-26 עד להכרעה בבקשה.</w:t>
      </w:r>
    </w:p>
    <w:p>
      <w:pPr>
        <w:keepNext/>
        <w:tabs>
          <w:tab w:pos="850" w:val="left"/>
        </w:tabs>
        <w:bidi/>
        <w:spacing w:after="120" w:before="0" w:line="360" w:lineRule="auto"/>
        <w:ind w:right="850" w:hanging="425"/>
        <w:jc w:val="both"/>
      </w:pPr>
      <w:r>
        <w:rPr>
          <w:b w:val="0"/>
          <w:sz w:val="24"/>
          <w:u w:val="none"/>
          <w:rtl/>
          <w:szCs w:val="24"/>
        </w:rPr>
        <w:t>ד.</w:t>
        <w:tab/>
      </w:r>
      <w:r>
        <w:rPr>
          <w:b w:val="0"/>
          <w:sz w:val="24"/>
          <w:u w:val="none"/>
          <w:rtl/>
          <w:szCs w:val="24"/>
        </w:rPr>
        <w:t>להורות לתובעת לסגור את התיק, ולחלופין לקבוע כי פסקי הדין אינם מהווים בסיס לגבייה.</w:t>
      </w:r>
    </w:p>
    <w:p>
      <w:pPr>
        <w:keepNext/>
        <w:bidi/>
        <w:spacing w:after="240" w:before="0" w:line="240" w:lineRule="auto"/>
        <w:jc w:val="left"/>
      </w:pPr>
      <w:r>
        <w:rPr>
          <w:b w:val="0"/>
          <w:sz w:val="24"/>
          <w:u w:val="none"/>
          <w:rtl/>
          <w:szCs w:val="24"/>
        </w:rPr>
      </w:r>
    </w:p>
    <w:p>
      <w:pPr>
        <w:keepNext/>
        <w:bidi/>
        <w:spacing w:after="0" w:before="0" w:line="240" w:lineRule="auto"/>
        <w:jc w:val="right"/>
      </w:pPr>
      <w:r>
        <w:rPr>
          <w:b w:val="0"/>
          <w:sz w:val="24"/>
          <w:u w:val="none"/>
          <w:rtl/>
          <w:szCs w:val="24"/>
        </w:rPr>
      </w:r>
      <w:r>
        <w:drawing>
          <wp:inline xmlns:a="http://schemas.openxmlformats.org/drawingml/2006/main" xmlns:pic="http://schemas.openxmlformats.org/drawingml/2006/picture">
            <wp:extent cx="1152000" cy="528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28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0" w:before="0" w:line="240" w:lineRule="auto"/>
        <w:jc w:val="right"/>
      </w:pPr>
      <w:r>
        <w:rPr>
          <w:b/>
          <w:sz w:val="24"/>
          <w:u w:val="none"/>
          <w:rtl/>
          <w:bCs/>
          <w:szCs w:val="24"/>
        </w:rPr>
        <w:t>סולומון טקה, עו"ד</w:t>
      </w:r>
    </w:p>
    <w:p>
      <w:pPr>
        <w:bidi/>
        <w:spacing w:after="0" w:before="0" w:line="240" w:lineRule="auto"/>
        <w:jc w:val="right"/>
      </w:pPr>
      <w:r>
        <w:rPr>
          <w:b/>
          <w:sz w:val="24"/>
          <w:u w:val="none"/>
          <w:rtl/>
          <w:bCs/>
          <w:szCs w:val="24"/>
        </w:rPr>
        <w:t>ב"כ המבקש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David" w:hAnsi="David" w:cs="David" w:eastAsia="David"/>
      <w:sz w:val="24"/>
      <w:szCs w:val="24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