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240" w:before="0" w:line="240" w:lineRule="auto"/>
        <w:jc w:val="right"/>
      </w:pPr>
      <w:r>
        <w:rPr>
          <w:b w:val="0"/>
          <w:sz w:val="24"/>
          <w:u w:val="none"/>
          <w:rtl/>
          <w:szCs w:val="24"/>
        </w:rPr>
        <w:t>24/9/26</w:t>
      </w:r>
    </w:p>
    <w:p>
      <w:pPr>
        <w:bidi/>
        <w:spacing w:after="240" w:before="0" w:line="240" w:lineRule="auto"/>
        <w:jc w:val="left"/>
      </w:pPr>
      <w:r>
        <w:rPr>
          <w:b/>
          <w:sz w:val="24"/>
          <w:u w:val="none"/>
          <w:rtl/>
          <w:bCs/>
          <w:szCs w:val="24"/>
        </w:rPr>
        <w:t>בבית הדין הרבני בפתח תקווה</w:t>
      </w:r>
    </w:p>
    <w:p>
      <w:pPr>
        <w:bidi/>
        <w:spacing w:after="0" w:before="0" w:line="240" w:lineRule="auto"/>
        <w:jc w:val="left"/>
      </w:pPr>
      <w:r>
        <w:rPr>
          <w:b/>
          <w:sz w:val="24"/>
          <w:u w:val="none"/>
          <w:rtl/>
          <w:bCs/>
          <w:szCs w:val="24"/>
        </w:rPr>
        <w:t>תיקים: 739403/7; 739402/8</w:t>
      </w:r>
    </w:p>
    <w:p>
      <w:pPr>
        <w:bidi/>
        <w:spacing w:after="480" w:before="0" w:line="240" w:lineRule="auto"/>
        <w:jc w:val="left"/>
      </w:pPr>
      <w:r>
        <w:rPr>
          <w:b/>
          <w:sz w:val="24"/>
          <w:u w:val="none"/>
          <w:rtl/>
          <w:bCs/>
          <w:szCs w:val="24"/>
        </w:rPr>
        <w:t>בפני כב' הדיינים</w:t>
      </w:r>
    </w:p>
    <w:p>
      <w:pPr>
        <w:tabs>
          <w:tab w:pos="2268" w:val="left"/>
        </w:tabs>
        <w:bidi/>
        <w:spacing w:after="240" w:before="0" w:line="240" w:lineRule="auto"/>
        <w:jc w:val="left"/>
      </w:pPr>
      <w:r>
        <w:rPr>
          <w:b/>
          <w:sz w:val="24"/>
          <w:u w:val="none"/>
          <w:rtl/>
          <w:bCs/>
          <w:szCs w:val="24"/>
        </w:rPr>
        <w:t>המבקש:</w:t>
      </w:r>
      <w:r>
        <w:rPr>
          <w:b w:val="0"/>
          <w:sz w:val="24"/>
          <w:u w:val="none"/>
          <w:rtl/>
          <w:szCs w:val="24"/>
        </w:rPr>
        <w:tab/>
      </w:r>
      <w:r>
        <w:rPr>
          <w:b/>
          <w:sz w:val="24"/>
          <w:u w:val="none"/>
          <w:rtl/>
          <w:bCs/>
          <w:szCs w:val="24"/>
        </w:rPr>
        <w:t>הבטה טגאדייה</w:t>
      </w:r>
      <w:r>
        <w:rPr>
          <w:b w:val="0"/>
          <w:sz w:val="24"/>
          <w:u w:val="none"/>
          <w:rtl/>
          <w:szCs w:val="24"/>
        </w:rPr>
        <w:t xml:space="preserve">, ת.ז </w:t>
      </w:r>
      <w:r>
        <w:rPr>
          <w:b/>
          <w:sz w:val="24"/>
          <w:u w:val="none"/>
          <w:rtl/>
          <w:bCs/>
          <w:szCs w:val="24"/>
        </w:rPr>
        <w:t>309787216</w:t>
      </w:r>
    </w:p>
    <w:p>
      <w:pPr>
        <w:tabs>
          <w:tab w:pos="2268" w:val="left"/>
        </w:tabs>
        <w:bidi/>
        <w:spacing w:after="240" w:before="0" w:line="240" w:lineRule="auto"/>
        <w:jc w:val="left"/>
      </w:pPr>
      <w:r>
        <w:rPr>
          <w:b w:val="0"/>
          <w:sz w:val="24"/>
          <w:u w:val="none"/>
          <w:rtl/>
          <w:szCs w:val="24"/>
        </w:rPr>
        <w:tab/>
        <w:t>ע"י ב"כ עו"ד סולומון טקה</w:t>
      </w:r>
    </w:p>
    <w:p>
      <w:pPr>
        <w:tabs>
          <w:tab w:pos="2268" w:val="left"/>
          <w:tab w:pos="3402" w:val="left"/>
        </w:tabs>
        <w:bidi/>
        <w:spacing w:after="240" w:before="0" w:line="240" w:lineRule="auto"/>
        <w:jc w:val="left"/>
      </w:pPr>
      <w:r>
        <w:rPr>
          <w:b w:val="0"/>
          <w:sz w:val="24"/>
          <w:u w:val="none"/>
          <w:rtl/>
          <w:szCs w:val="24"/>
        </w:rPr>
        <w:tab/>
        <w:tab/>
        <w:t>נגד</w:t>
      </w:r>
    </w:p>
    <w:p>
      <w:pPr>
        <w:tabs>
          <w:tab w:pos="2268" w:val="left"/>
        </w:tabs>
        <w:bidi/>
        <w:spacing w:after="240" w:before="0" w:line="240" w:lineRule="auto"/>
        <w:jc w:val="left"/>
      </w:pPr>
      <w:r>
        <w:rPr>
          <w:b/>
          <w:sz w:val="24"/>
          <w:u w:val="none"/>
          <w:rtl/>
          <w:bCs/>
          <w:szCs w:val="24"/>
        </w:rPr>
        <w:t>המשיבה:</w:t>
      </w:r>
      <w:r>
        <w:rPr>
          <w:b w:val="0"/>
          <w:sz w:val="24"/>
          <w:u w:val="none"/>
          <w:rtl/>
          <w:szCs w:val="24"/>
        </w:rPr>
        <w:tab/>
      </w:r>
      <w:r>
        <w:rPr>
          <w:b/>
          <w:sz w:val="24"/>
          <w:u w:val="none"/>
          <w:rtl/>
          <w:bCs/>
          <w:szCs w:val="24"/>
        </w:rPr>
        <w:t>אביבה טגאדייה</w:t>
      </w:r>
      <w:r>
        <w:rPr>
          <w:b w:val="0"/>
          <w:sz w:val="24"/>
          <w:u w:val="none"/>
          <w:rtl/>
          <w:szCs w:val="24"/>
        </w:rPr>
        <w:t xml:space="preserve">, ת.ז </w:t>
      </w:r>
      <w:r>
        <w:rPr>
          <w:b/>
          <w:sz w:val="24"/>
          <w:u w:val="none"/>
          <w:rtl/>
          <w:bCs/>
          <w:szCs w:val="24"/>
        </w:rPr>
        <w:t>309816544</w:t>
      </w:r>
    </w:p>
    <w:p>
      <w:pPr>
        <w:tabs>
          <w:tab w:pos="2268" w:val="left"/>
        </w:tabs>
        <w:bidi/>
        <w:spacing w:after="600" w:before="0" w:line="240" w:lineRule="auto"/>
        <w:jc w:val="left"/>
      </w:pPr>
      <w:r>
        <w:rPr>
          <w:b w:val="0"/>
          <w:sz w:val="24"/>
          <w:u w:val="none"/>
          <w:rtl/>
          <w:szCs w:val="24"/>
        </w:rPr>
        <w:tab/>
        <w:t>באמצעות ב"כ עו"ד בלה צור</w:t>
      </w:r>
    </w:p>
    <w:p>
      <w:pPr>
        <w:bidi/>
        <w:spacing w:after="120" w:before="0" w:line="240" w:lineRule="auto"/>
        <w:jc w:val="center"/>
      </w:pPr>
      <w:r>
        <w:rPr>
          <w:b/>
          <w:sz w:val="32"/>
          <w:u w:val="single"/>
          <w:rtl/>
          <w:bCs/>
          <w:szCs w:val="32"/>
        </w:rPr>
        <w:t>בקשה להפחתת מזונות ולמתן הוראות</w:t>
      </w:r>
    </w:p>
    <w:p>
      <w:pPr>
        <w:bidi/>
        <w:spacing w:after="360" w:before="0" w:line="240" w:lineRule="auto"/>
        <w:jc w:val="center"/>
      </w:pPr>
      <w:r>
        <w:rPr>
          <w:b/>
          <w:sz w:val="24"/>
          <w:u w:val="none"/>
          <w:rtl/>
          <w:bCs/>
          <w:szCs w:val="24"/>
        </w:rPr>
        <w:t>(הגעת הבת הבכורה לגיל 18; מסלקה פנסיונית)</w:t>
      </w:r>
    </w:p>
    <w:p>
      <w:pPr>
        <w:bidi/>
        <w:spacing w:after="240" w:before="0" w:line="360" w:lineRule="auto"/>
        <w:jc w:val="both"/>
      </w:pPr>
      <w:r>
        <w:rPr>
          <w:b w:val="0"/>
          <w:sz w:val="24"/>
          <w:u w:val="none"/>
          <w:rtl/>
          <w:szCs w:val="24"/>
        </w:rPr>
        <w:t>בית הדין הנכבד מתבקש להפחית את המזונות נוכח הגעת הבת הבכורה לגיל 18, ולהורות על המצאה הדדית של דוחות מסלקה פנסיונית, כמפורט להלן:</w:t>
      </w:r>
    </w:p>
    <w:p>
      <w:pPr>
        <w:bidi/>
        <w:spacing w:after="160" w:before="120" w:line="240" w:lineRule="auto"/>
        <w:jc w:val="left"/>
      </w:pPr>
      <w:r>
        <w:rPr>
          <w:b/>
          <w:sz w:val="24"/>
          <w:u w:val="single"/>
          <w:rtl/>
          <w:bCs/>
          <w:szCs w:val="24"/>
        </w:rPr>
        <w:t>א. הפחתת מזונות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1.</w:t>
        <w:tab/>
      </w:r>
      <w:r>
        <w:rPr>
          <w:b w:val="0"/>
          <w:sz w:val="24"/>
          <w:u w:val="none"/>
          <w:rtl/>
          <w:szCs w:val="24"/>
        </w:rPr>
        <w:t xml:space="preserve">בתם הבכורה של הצדדים, ילידת </w:t>
      </w:r>
      <w:r>
        <w:rPr>
          <w:b/>
          <w:sz w:val="24"/>
          <w:u w:val="none"/>
          <w:rtl/>
          <w:bCs/>
          <w:szCs w:val="24"/>
        </w:rPr>
        <w:t>1.9.2008</w:t>
      </w:r>
      <w:r>
        <w:rPr>
          <w:b w:val="0"/>
          <w:sz w:val="24"/>
          <w:u w:val="none"/>
          <w:rtl/>
          <w:szCs w:val="24"/>
        </w:rPr>
        <w:t xml:space="preserve">, בת 18 מיום </w:t>
      </w:r>
      <w:r>
        <w:rPr>
          <w:b/>
          <w:sz w:val="24"/>
          <w:u w:val="none"/>
          <w:rtl/>
          <w:bCs/>
          <w:szCs w:val="24"/>
        </w:rPr>
        <w:t>1.9.2026</w:t>
      </w:r>
      <w:r>
        <w:rPr>
          <w:b w:val="0"/>
          <w:sz w:val="24"/>
          <w:u w:val="none"/>
          <w:rtl/>
          <w:szCs w:val="24"/>
        </w:rPr>
        <w:t xml:space="preserve">. גיוסה לצה"ל נקבע לחודש </w:t>
      </w:r>
      <w:r>
        <w:rPr>
          <w:b/>
          <w:sz w:val="24"/>
          <w:u w:val="none"/>
          <w:rtl/>
          <w:bCs/>
          <w:szCs w:val="24"/>
        </w:rPr>
        <w:t>מרץ 2027</w:t>
      </w:r>
      <w:r>
        <w:rPr>
          <w:b w:val="0"/>
          <w:sz w:val="24"/>
          <w:u w:val="none"/>
          <w:rtl/>
          <w:szCs w:val="24"/>
        </w:rPr>
        <w:t xml:space="preserve"> (</w:t>
      </w:r>
      <w:r>
        <w:rPr>
          <w:b/>
          <w:sz w:val="24"/>
          <w:u w:val="none"/>
          <w:rtl/>
          <w:bCs/>
          <w:szCs w:val="24"/>
        </w:rPr>
        <w:t>נספח א'</w:t>
      </w:r>
      <w:r>
        <w:rPr>
          <w:b w:val="0"/>
          <w:sz w:val="24"/>
          <w:u w:val="none"/>
          <w:rtl/>
          <w:szCs w:val="24"/>
        </w:rPr>
        <w:t>).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2.</w:t>
        <w:tab/>
      </w:r>
      <w:r>
        <w:rPr>
          <w:b w:val="0"/>
          <w:sz w:val="24"/>
          <w:u w:val="none"/>
          <w:rtl/>
          <w:szCs w:val="24"/>
        </w:rPr>
        <w:t>לפי הפסיקה הנוהגת, מגיל 18 ועד תום השירות הצבאי מופחתים מזונות הילד לשליש.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3.</w:t>
        <w:tab/>
      </w:r>
      <w:r>
        <w:rPr>
          <w:b w:val="0"/>
          <w:sz w:val="24"/>
          <w:u w:val="none"/>
          <w:rtl/>
          <w:szCs w:val="24"/>
        </w:rPr>
        <w:t xml:space="preserve">חלקה של הבת במזונות הוא </w:t>
      </w:r>
      <w:r>
        <w:rPr>
          <w:b/>
          <w:sz w:val="24"/>
          <w:u w:val="none"/>
          <w:rtl/>
          <w:bCs/>
          <w:szCs w:val="24"/>
        </w:rPr>
        <w:t>1,200 ש"ח</w:t>
      </w:r>
      <w:r>
        <w:rPr>
          <w:b w:val="0"/>
          <w:sz w:val="24"/>
          <w:u w:val="none"/>
          <w:rtl/>
          <w:szCs w:val="24"/>
        </w:rPr>
        <w:t>, ויש להפחיתו ל-</w:t>
      </w:r>
      <w:r>
        <w:rPr>
          <w:b/>
          <w:sz w:val="24"/>
          <w:u w:val="none"/>
          <w:rtl/>
          <w:bCs/>
          <w:szCs w:val="24"/>
        </w:rPr>
        <w:t>400 ש"ח</w:t>
      </w:r>
      <w:r>
        <w:rPr>
          <w:b w:val="0"/>
          <w:sz w:val="24"/>
          <w:u w:val="none"/>
          <w:rtl/>
          <w:szCs w:val="24"/>
        </w:rPr>
        <w:t xml:space="preserve">, כלומר הפחתה של </w:t>
      </w:r>
      <w:r>
        <w:rPr>
          <w:b/>
          <w:sz w:val="24"/>
          <w:u w:val="none"/>
          <w:rtl/>
          <w:bCs/>
          <w:szCs w:val="24"/>
        </w:rPr>
        <w:t>800 ש"ח</w:t>
      </w:r>
      <w:r>
        <w:rPr>
          <w:b w:val="0"/>
          <w:sz w:val="24"/>
          <w:u w:val="none"/>
          <w:rtl/>
          <w:szCs w:val="24"/>
        </w:rPr>
        <w:t xml:space="preserve">. מחודש ספטמבר 2026 יעמוד התשלום על </w:t>
      </w:r>
      <w:r>
        <w:rPr>
          <w:b/>
          <w:sz w:val="24"/>
          <w:u w:val="none"/>
          <w:rtl/>
          <w:bCs/>
          <w:szCs w:val="24"/>
        </w:rPr>
        <w:t>4,650 ש"ח</w:t>
      </w:r>
      <w:r>
        <w:rPr>
          <w:b w:val="0"/>
          <w:sz w:val="24"/>
          <w:u w:val="none"/>
          <w:rtl/>
          <w:szCs w:val="24"/>
        </w:rPr>
        <w:t xml:space="preserve"> במקום 5,450 ש"ח.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4.</w:t>
        <w:tab/>
      </w:r>
      <w:r>
        <w:rPr>
          <w:b w:val="0"/>
          <w:sz w:val="24"/>
          <w:u w:val="none"/>
          <w:rtl/>
          <w:szCs w:val="24"/>
        </w:rPr>
        <w:t>ההפחתה צריכה לחול כבר מגיל 18: מדובר בבגירה שמועד גיוסה ידוע וקרוב.</w:t>
      </w:r>
    </w:p>
    <w:p>
      <w:pPr>
        <w:bidi/>
        <w:spacing w:after="160" w:before="120" w:line="240" w:lineRule="auto"/>
        <w:jc w:val="left"/>
      </w:pPr>
      <w:r>
        <w:rPr>
          <w:b/>
          <w:sz w:val="24"/>
          <w:u w:val="single"/>
          <w:rtl/>
          <w:bCs/>
          <w:szCs w:val="24"/>
        </w:rPr>
        <w:t>ב. מסלקה פנסיונית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5.</w:t>
        <w:tab/>
      </w:r>
      <w:r>
        <w:rPr>
          <w:b w:val="0"/>
          <w:sz w:val="24"/>
          <w:u w:val="none"/>
          <w:rtl/>
          <w:szCs w:val="24"/>
        </w:rPr>
        <w:t xml:space="preserve">בדיון מיום </w:t>
      </w:r>
      <w:r>
        <w:rPr>
          <w:b/>
          <w:sz w:val="24"/>
          <w:u w:val="none"/>
          <w:rtl/>
          <w:bCs/>
          <w:szCs w:val="24"/>
        </w:rPr>
        <w:t>22.6.2026</w:t>
      </w:r>
      <w:r>
        <w:rPr>
          <w:b w:val="0"/>
          <w:sz w:val="24"/>
          <w:u w:val="none"/>
          <w:rtl/>
          <w:szCs w:val="24"/>
        </w:rPr>
        <w:t xml:space="preserve"> הצהירה ב"כ התובעת (שורה 107 לפרוטוקול): </w:t>
      </w:r>
      <w:r>
        <w:rPr>
          <w:b/>
          <w:sz w:val="24"/>
          <w:u w:val="none"/>
          <w:rtl/>
          <w:bCs/>
          <w:szCs w:val="24"/>
        </w:rPr>
        <w:t>"תוך עשרה ימים יגישו מסלקה פנסיונית"</w:t>
      </w:r>
      <w:r>
        <w:rPr>
          <w:b w:val="0"/>
          <w:sz w:val="24"/>
          <w:u w:val="none"/>
          <w:rtl/>
          <w:szCs w:val="24"/>
        </w:rPr>
        <w:t xml:space="preserve"> (</w:t>
      </w:r>
      <w:r>
        <w:rPr>
          <w:b/>
          <w:sz w:val="24"/>
          <w:u w:val="none"/>
          <w:rtl/>
          <w:bCs/>
          <w:szCs w:val="24"/>
        </w:rPr>
        <w:t>נספח ב'</w:t>
      </w:r>
      <w:r>
        <w:rPr>
          <w:b w:val="0"/>
          <w:sz w:val="24"/>
          <w:u w:val="none"/>
          <w:rtl/>
          <w:szCs w:val="24"/>
        </w:rPr>
        <w:t>).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6.</w:t>
        <w:tab/>
      </w:r>
      <w:r>
        <w:rPr>
          <w:b w:val="0"/>
          <w:sz w:val="24"/>
          <w:u w:val="none"/>
          <w:rtl/>
          <w:szCs w:val="24"/>
        </w:rPr>
        <w:t>המועד חלף. המבקש מוכן להעביר את הדוח שלו, אך התובעת אינה מעוניינת להמציא את שלה.</w:t>
      </w:r>
    </w:p>
    <w:p>
      <w:pPr>
        <w:tabs>
          <w:tab w:pos="425" w:val="left"/>
        </w:tabs>
        <w:bidi/>
        <w:spacing w:after="160" w:before="0" w:line="360" w:lineRule="auto"/>
        <w:ind w:right="425" w:hanging="425"/>
        <w:jc w:val="both"/>
      </w:pPr>
      <w:r>
        <w:rPr>
          <w:b w:val="0"/>
          <w:sz w:val="24"/>
          <w:u w:val="none"/>
          <w:rtl/>
          <w:szCs w:val="24"/>
        </w:rPr>
        <w:t>7.</w:t>
        <w:tab/>
      </w:r>
      <w:r>
        <w:rPr>
          <w:b w:val="0"/>
          <w:sz w:val="24"/>
          <w:u w:val="none"/>
          <w:rtl/>
          <w:szCs w:val="24"/>
        </w:rPr>
        <w:t>זכויות הפנסיה של שני הצדדים טעונות איזון. אין איזון הוגן כשרק צד אחד חושף את זכויותיו.</w:t>
      </w:r>
    </w:p>
    <w:p>
      <w:pPr>
        <w:tabs>
          <w:tab w:pos="425" w:val="left"/>
        </w:tabs>
        <w:bidi/>
        <w:spacing w:after="120" w:before="0" w:line="360" w:lineRule="auto"/>
        <w:ind w:right="425" w:hanging="425"/>
        <w:jc w:val="left"/>
      </w:pPr>
      <w:r>
        <w:rPr>
          <w:b w:val="0"/>
          <w:sz w:val="24"/>
          <w:u w:val="none"/>
          <w:rtl/>
          <w:szCs w:val="24"/>
        </w:rPr>
        <w:t>8.</w:t>
        <w:tab/>
      </w:r>
      <w:r>
        <w:rPr>
          <w:b w:val="0"/>
          <w:sz w:val="24"/>
          <w:u w:val="none"/>
          <w:rtl/>
          <w:szCs w:val="24"/>
        </w:rPr>
        <w:t>אשר על כן, מתבקש בית הדין הנכבד:</w:t>
      </w:r>
    </w:p>
    <w:p>
      <w:pPr>
        <w:tabs>
          <w:tab w:pos="850" w:val="left"/>
        </w:tabs>
        <w:bidi/>
        <w:spacing w:after="120" w:before="0" w:line="360" w:lineRule="auto"/>
        <w:ind w:right="850" w:hanging="425"/>
        <w:jc w:val="both"/>
      </w:pPr>
      <w:r>
        <w:rPr>
          <w:b w:val="0"/>
          <w:sz w:val="24"/>
          <w:u w:val="none"/>
          <w:rtl/>
          <w:szCs w:val="24"/>
        </w:rPr>
        <w:t>א.</w:t>
        <w:tab/>
      </w:r>
      <w:r>
        <w:rPr>
          <w:b w:val="0"/>
          <w:sz w:val="24"/>
          <w:u w:val="none"/>
          <w:rtl/>
          <w:szCs w:val="24"/>
        </w:rPr>
        <w:t>להפחית את המזונות ב-800 ש"ח לחודש החל מספטמבר 2026, כך שהתשלום יעמוד על 4,650 ש"ח.</w:t>
      </w:r>
    </w:p>
    <w:p>
      <w:pPr>
        <w:keepNext/>
        <w:tabs>
          <w:tab w:pos="850" w:val="left"/>
        </w:tabs>
        <w:bidi/>
        <w:spacing w:after="120" w:before="0" w:line="360" w:lineRule="auto"/>
        <w:ind w:right="850" w:hanging="425"/>
        <w:jc w:val="both"/>
      </w:pPr>
      <w:r>
        <w:rPr>
          <w:b w:val="0"/>
          <w:sz w:val="24"/>
          <w:u w:val="none"/>
          <w:rtl/>
          <w:szCs w:val="24"/>
        </w:rPr>
        <w:t>ב.</w:t>
        <w:tab/>
      </w:r>
      <w:r>
        <w:rPr>
          <w:b w:val="0"/>
          <w:sz w:val="24"/>
          <w:u w:val="none"/>
          <w:rtl/>
          <w:szCs w:val="24"/>
        </w:rPr>
        <w:t>להורות לשני הצדדים להמציא זה לזה דוח מסלקה פנסיונית עדכני, במקביל, בתוך 10 ימים.</w:t>
      </w:r>
    </w:p>
    <w:p>
      <w:pPr>
        <w:keepNext/>
        <w:bidi/>
        <w:spacing w:after="240" w:before="0" w:line="240" w:lineRule="auto"/>
        <w:jc w:val="left"/>
      </w:pPr>
      <w:r>
        <w:rPr>
          <w:b w:val="0"/>
          <w:sz w:val="24"/>
          <w:u w:val="none"/>
          <w:rtl/>
          <w:szCs w:val="24"/>
        </w:rPr>
      </w:r>
    </w:p>
    <w:p>
      <w:pPr>
        <w:keepNext/>
        <w:bidi/>
        <w:spacing w:after="0" w:before="0" w:line="240" w:lineRule="auto"/>
        <w:jc w:val="right"/>
      </w:pPr>
      <w:r>
        <w:rPr>
          <w:b w:val="0"/>
          <w:sz w:val="24"/>
          <w:u w:val="none"/>
          <w:rtl/>
          <w:szCs w:val="24"/>
        </w:rPr>
      </w:r>
      <w:r>
        <w:drawing>
          <wp:inline xmlns:a="http://schemas.openxmlformats.org/drawingml/2006/main" xmlns:pic="http://schemas.openxmlformats.org/drawingml/2006/picture">
            <wp:extent cx="1152000" cy="528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28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0" w:before="0" w:line="240" w:lineRule="auto"/>
        <w:jc w:val="right"/>
      </w:pPr>
      <w:r>
        <w:rPr>
          <w:b/>
          <w:sz w:val="24"/>
          <w:u w:val="none"/>
          <w:rtl/>
          <w:bCs/>
          <w:szCs w:val="24"/>
        </w:rPr>
        <w:t>סולומון טקה, עו"ד</w:t>
      </w:r>
    </w:p>
    <w:p>
      <w:pPr>
        <w:bidi/>
        <w:spacing w:after="0" w:before="0" w:line="240" w:lineRule="auto"/>
        <w:jc w:val="right"/>
      </w:pPr>
      <w:r>
        <w:rPr>
          <w:b/>
          <w:sz w:val="24"/>
          <w:u w:val="none"/>
          <w:rtl/>
          <w:bCs/>
          <w:szCs w:val="24"/>
        </w:rPr>
        <w:t>ב"כ המבקש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David" w:hAnsi="David" w:cs="David" w:eastAsia="David"/>
      <w:sz w:val="24"/>
      <w:szCs w:val="24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