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וכי ניתנה החלטה על איחוד הדיון בין ההליכים.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תקנות 24 ו-25(ב) לתקנות מחייבות לכלול בכתב תביעה אחד את כל העילות והסעדים בשל אותה מסכת עובדתית, זולת אם ניתנה רשות לפיצול. רשות כזו לא נטענה ולא הוצגה, ובהחלטת האיחוד אין רשות בדיעבד; דין התביעה להימחק.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 וכמוה גם ההתראות הנטענות בסעיף 2 לכתב התביעה, בניגוד לתקנה 79(א)(2).</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גדלה בדירה ושבה אליה בסמוך לדצמבר 2023 כדי לסעוד את אביה עד לפטירתו.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מאז היא מתגוררת בדירה, שהיא ביתה היחיד. מי שאלה נסיבות כניסתה אינה "פולשת", ולכל היותר עסקינן בבת-רשות.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תטען הנתבעת כי היא "דייר ממשיך" כהגדרתו בסעיף 1 לחוק זכויות הדייר בדיור הציבורי, התשנ"ח-1998, וכי מתקיים בה תנאי הוראת המעבר, שבגדרה מוסיף לחול עליה נוסחו הקודם של סעיף 3 לחוק.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זהו התנאי שהתובעת עצמה הציבה בראש טבלת ביקורי המעגל שבנספח 4: "ביקורי מעגל לדייר הממשיך מתאריך 1.8.09 ועד מועד הבקשה ולא פחות מ-4 שנות מגורים רצופות". הנתבעת התגוררה בדירה מיום 1.8.2009 וברציפות כעשר שנים.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ומכל מקום, שאלת מגוריה לא נבדקה מעולם ומקומה להתברר בראיות.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לפולש, אלא מחייבו לפנות את הדירה "בתוך תשעה חודשים מהמועד שבו נמסרה לו הודעה מאת משרד הבינוי והשיכון, בדבר אי-זכאותו לדירה ציבורית לפי הכללים".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הודעה כזו לא נמסרה לנתבעת ואיננה בין נספחי כתב התביעה. כל עוד לא נמסרה, ובמשך תשעה חודשים לאחר מסירתה, החזקתה בדירה כדין ולא קמה עילה לדמי שימוש ראויים.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והיא אף הוסיפה לגבות תשלומים בפועל.</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ללא שימוע וללא המצאה, על יסוד תשתית הסותרת את עצמה ומבלי שנבחנה זכאותה העצמאית של הנתבעת; הנתבעת תוקפת אותה בתקיפה עקיפה.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ואשר לסכום, לא הוצגה חוות דעת לשווי, והחיוב החודשי שגזרה התובעת לעצמה גבוה פי שלושה עשר משכר הדירה נטו שהיא עצמה קבעה. אף לא נמסרה הודעה בכתב על סיום השכירות, כנדרש בסעיף 2 לחוזה.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ולנוכח היות הנתבעת נכה בשיעור 100% שאינה עובדת, מוכרת ברווחה וסמוכה על קצבת המוסד לביטוח לאומי, מתבקש פטור מהשבה לפי סעיף 2 לחוק עשיית עושר ולא במשפט, התשל"ט-1979.</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המנוח, יליד 1943, עלה לישראל מאתיופיה בשנת 1991 ונפטר ביום 16.2.2024.</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תעודת הפטירה, שהתובעת עצמה צירפה כנספח 3, נשלחה ביום 10.3.2024 מלשכת רשות האוכלוסין בפתח תקווה אל הנתבעת, בכתובת הדירה.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נסיבות מגוריה של הנתבעת.</w:t>
      </w:r>
      <w:r>
        <w:rPr>
          <w:rFonts w:ascii="David" w:cs="David" w:eastAsia="David" w:hAnsi="David"/>
          <w:b w:val="false"/>
          <w:bCs w:val="false"/>
          <w:i w:val="false"/>
          <w:iCs w:val="false"/>
          <w:sz w:val="24"/>
          <w:szCs w:val="24"/>
          <w:rtl/>
        </w:rPr>
        <w:t xml:space="preserve"> היא גדלה בדירה והתגוררה בה מילדותה, לרבות ביום 1.8.2009 וברציפות עד לשנת 2019. באותה שנה, על רקע מתח וקושי שנתגלעו בינה לבין אביה, שכרה דירה בסמוך כדי שיהיה בידה מקום לינה נפרד.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היא לא נטשה את אביה ולא חדלה מלבקרו: הגיעה אליו בתדירות גבוהה, הכינה עבורו אוכל ודאגה לצרכיו. הדירה היא ביתה היחיד, ואין לה דירה בבעלותה.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בסמוך לחודש דצמבר 2023, כשבעה חודשים בטרם פקע חוזה השכירות שלה, עזבה את הדירה השכורה ועברה לשהות לצד אביה ולסעוד אותו עד לפטירתו; ומאז היא מתגוררת בדירה ברציפות.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בטבלת ביקורי המעגל שבנספח 4 נרשם "לא" ביחס לדייר ממשיך בכל אחת מן השנים 2010 עד 2019, עשור שלם שבו התגוררה הנתבעת בדירה, בלא שנשאלה, זומנה או נשמעה ולו פעם אחת.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21.</w:t>
      </w:r>
      <w:r>
        <w:rPr>
          <w:rFonts w:ascii="David" w:cs="David" w:eastAsia="David" w:hAnsi="David"/>
          <w:sz w:val="24"/>
          <w:szCs w:val="24"/>
          <w:rtl/>
        </w:rPr>
        <w:tab/>
      </w:r>
      <w:r>
        <w:rPr>
          <w:rFonts w:ascii="David" w:cs="David" w:eastAsia="David" w:hAnsi="David"/>
          <w:b/>
          <w:bCs/>
          <w:i w:val="false"/>
          <w:iCs w:val="false"/>
          <w:sz w:val="24"/>
          <w:szCs w:val="24"/>
          <w:rtl/>
        </w:rPr>
        <w:t xml:space="preserve">הביקור מיום 3.7.2024.</w:t>
      </w:r>
      <w:r>
        <w:rPr>
          <w:rFonts w:ascii="David" w:cs="David" w:eastAsia="David" w:hAnsi="David"/>
          <w:b w:val="false"/>
          <w:bCs w:val="false"/>
          <w:i w:val="false"/>
          <w:iCs w:val="false"/>
          <w:sz w:val="24"/>
          <w:szCs w:val="24"/>
          <w:rtl/>
        </w:rPr>
        <w:t xml:space="preserve">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"עדן" הוא שמה העברי של הנתבעת, והביקור נערך עמה בדירה;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ובהתאם לכך אף סומן בטבלה שבנספח 4, בשורת אותו ביקור, כי דייר ממשיך מתגורר בדירה. ובאותו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23.</w:t>
      </w:r>
      <w:r>
        <w:rPr>
          <w:rFonts w:ascii="David" w:cs="David" w:eastAsia="David" w:hAnsi="David"/>
          <w:sz w:val="24"/>
          <w:szCs w:val="24"/>
          <w:rtl/>
        </w:rPr>
        <w:tab/>
      </w:r>
      <w:r>
        <w:rPr>
          <w:rFonts w:ascii="David" w:cs="David" w:eastAsia="David" w:hAnsi="David"/>
          <w:b/>
          <w:bCs/>
          <w:i w:val="false"/>
          <w:iCs w:val="false"/>
          <w:sz w:val="24"/>
          <w:szCs w:val="24"/>
          <w:rtl/>
        </w:rPr>
        <w:t xml:space="preserve">הכספים.</w:t>
      </w:r>
      <w:r>
        <w:rPr>
          <w:rFonts w:ascii="David" w:cs="David" w:eastAsia="David" w:hAnsi="David"/>
          <w:b w:val="false"/>
          <w:bCs w:val="false"/>
          <w:i w:val="false"/>
          <w:iCs w:val="false"/>
          <w:sz w:val="24"/>
          <w:szCs w:val="24"/>
          <w:rtl/>
        </w:rPr>
        <w:t xml:space="preserve"> ביום 23.7.2024, כחמישה חודשים לאחר הפטירה,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הסכום שולם (נספח א').</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ואולם ביום 17.9.2024, לאחר החלטת הוועדה, הוציאה התובעת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חויבה הדירה פעמיים (נספח ב').</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27.3.2025 שילמה הנתבעת 2,911.01 ₪ נוספים על פי שובר שהתובעת שלחה אליה (נספח ג'). ואף לפי הכרטסת, מספר חודשי אי-התשלום הוא 12 מתוך למעלה מעשרים וארבעה.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26.</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נותר ריק, והפרק "החלטת הוועדה המחוזית" נושא שתי שורות בכתב יד שאינן קריאות בעותק שהומצא, ואין בהן דיון בתנאי החוק.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השדה "מצ"ב החלטת ועדה מיום ___" נותר ריק, בעוד המסמך שאליו הוא מפנה לא הוצג; וחובת ההנמקה קבועה בסעיף 2 לחוק לתיקון סדרי המינהל (החלטות והנמקות), התשי"ט-1958.</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הרובריקה שיועדה לסגן מנהל מרכז השירות, שבה אמורים היו להירשם אישורי משרד הבינוי והשיכון והממצאים, נותרה ריקה בכל שורותיה, בלא שם ובלא חתימה.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בכלל אותן שורות ריקות השדות "חסר דירה" ו"מומש סיוע בשכ"ד", שבהם נבחנת זכאותה העצמאית של הנתבעת לדירה ציבורית לפי הכללים - היא החלופה שבסעיף 3(ב) לחוק, אשר בהתקיימה רואים את הדייר הממשיך כמי שבא בנעלי הזכאי.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משכך, הקביעה שבסעיף 19 לכתב התביעה, ולפיה לא עמדה הנתבעת בתבחינים, אינה קביעה אלא הנחה; ומכל מקום, ועדה פנימית של התובעת אינה משרד הבינוי והשיכון.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31.</w:t>
      </w:r>
      <w:r>
        <w:rPr>
          <w:rFonts w:ascii="David" w:cs="David" w:eastAsia="David" w:hAnsi="David"/>
          <w:sz w:val="24"/>
          <w:szCs w:val="24"/>
          <w:rtl/>
        </w:rPr>
        <w:tab/>
      </w:r>
      <w:r>
        <w:rPr>
          <w:rFonts w:ascii="David" w:cs="David" w:eastAsia="David" w:hAnsi="David"/>
          <w:b/>
          <w:bCs/>
          <w:i w:val="false"/>
          <w:iCs w:val="false"/>
          <w:sz w:val="24"/>
          <w:szCs w:val="24"/>
          <w:rtl/>
        </w:rPr>
        <w:t xml:space="preserve">התשתית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 ביחס לביקור מיום 3.7.2024 נרשם בטבלה כי הדייר החוזי "גר: כן", ארבעה חודשים וחצי לאחר פטירתו.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ולגבי הביקור מיום 18.12.2023, האחרון בחיי המנוח, נרשם אצל הדייר הממשיך "לא"; ואילו 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[כך במקור].</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ואף על פי כן נושא אותו דוח דירוגי מצב מפורטים לכל חדרי הדירה, שלושה סימוני אישור ובהם "אני מאשר בחתימתי את כל הנתונים שבסיכום זה לאחר שקראתי אותו והבנתי אותו", וחותמת </w:t>
      </w:r>
      <w:r>
        <w:rPr>
          <w:rFonts w:ascii="David" w:cs="David" w:eastAsia="David" w:hAnsi="David"/>
          <w:b/>
          <w:bCs/>
          <w:i w:val="false"/>
          <w:iCs w:val="false"/>
          <w:sz w:val="24"/>
          <w:szCs w:val="24"/>
          <w:rtl/>
        </w:rPr>
        <w:t xml:space="preserve">"מסרב לחתום"</w:t>
      </w:r>
      <w:r>
        <w:rPr>
          <w:rFonts w:ascii="David" w:cs="David" w:eastAsia="David" w:hAnsi="David"/>
          <w:b w:val="false"/>
          <w:bCs w:val="false"/>
          <w:i w:val="false"/>
          <w:iCs w:val="false"/>
          <w:sz w:val="24"/>
          <w:szCs w:val="24"/>
          <w:rtl/>
        </w:rPr>
        <w:t xml:space="preserve">.</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קרי, בדיקה פנימית של הדירה כולה וקביעה פוזיטיבית, על יסוד ביקור שלא נערך. והמוקדם שברישומי הטבלה הוא מיום 11.8.2010, כך שביחס ליום 1.8.2009, נקודת המוצא של אמת המידה, אין בה דבר.</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35.</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 המנוח היה אז כבן שבעים ושמונה; הוא דובר אמהרית, לא ידע קרוא וכתוב ולא שלט בעברית.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מי שהחתימה אותו היא גב' נטלי לוגסי, מנהלת תיק הלקוח מטעם התובעת, שאינה דוברת אמהרית; ובדוח הביקור שערכה (עמ' 33) נרשם "ביקור בוצע ב 10/11/21", הוא יום החתימה.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בפרק "אישור חתימה" שבתחתית הטופס מציע הנוסח המודפס שתי חלופות, "לאחר שקרא/ה אותה" ו"הקראתי לו/ה", ואיש לא סימן איזו מהן התקיימה; אין בו זכר למתורגמן ואין אינדיקציה שתוכנו הובא לידיעת המנוח בשפה שהבין.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גוף הטופס כולו מודפס מראש, והמנוח לא הוסיף בו דבר מלבד חתימתו והתאריך. מסמך שהוחתם כך על אדם שאינו יודע קרוא וכתוב, בלא שהוכח כי הוסבר לו בשפתו, אין ליתן בו משקל, והנתבעת שומרת על זכותה להתנגד להגשתו ולעתור להוצאתו מן התיק.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וסעיף 3 שבו מגלה את תכליתו: כי ההצהרה "לא תאפשר לקרובי לטעון כי גרו איתי בדירה... כדי להיחשב 'דיירים ממשיכים'". ברם, המעמד שבחוק קם לנתבעת מכוח דין, והיא לא היתה צד לאותו טופס.</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זכות סטטוטורית של מי שאינו חתום על הטופס אינה ניתנת לוויתור בידי החותם, ולו מטעמי תקנת הציבור שבסעיף 30 לחוק החוזים (חלק כללי), התשל"ג-1973.</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41.</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בחודש יולי 2026 פנה האגף לשירותים חברתיים בעיריית פתח תקווה במכתב שעניינו הנתבעת (נספח ה'), המוכרת באותו אגף כנתמכת (נספח 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(נספח ז').</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ובסיפת המכתב: </w:t>
      </w:r>
      <w:r>
        <w:rPr>
          <w:rFonts w:ascii="David" w:cs="David" w:eastAsia="David" w:hAnsi="David"/>
          <w:b/>
          <w:bCs/>
          <w:i w:val="false"/>
          <w:iCs w:val="false"/>
          <w:sz w:val="24"/>
          <w:szCs w:val="24"/>
          <w:rtl/>
        </w:rPr>
        <w:t xml:space="preserve">"נודה על כל התחשבות במצבה והימנעות מהוצאתה מהדירה בה מתגוררת מזה 30 שנה"</w:t>
      </w:r>
      <w:r>
        <w:rPr>
          <w:rFonts w:ascii="David" w:cs="David" w:eastAsia="David" w:hAnsi="David"/>
          <w:b w:val="false"/>
          <w:bCs w:val="false"/>
          <w:i w:val="false"/>
          <w:iCs w:val="false"/>
          <w:sz w:val="24"/>
          <w:szCs w:val="24"/>
          <w:rtl/>
        </w:rPr>
        <w:t xml:space="preserve">. וכבר בשנת 2013 פנתה הנתבעת בכתב אל משרד הבינוי והשיכון בבקשה לפתרון דיור, ותיארה כי אין לה קורת גג משלה.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הפנייה נמסרה באמצעות מרכז אלונים, גורם רווחה ושיקום, ואושרה בחותמתו ביום 28.6.2013 (נספח ד'). לחומר זה משקל ישיר לעניין הזכאות העצמאית לפי סעיף 3(ב) ולעניין ההשבה.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ואולם התובעת החליטה בלא שפנתה לגורמי הרווחה, בנספח 4 אין לחומר זה כל התייחסות, ועניינה של הנתבעת לא הובא בפני הוועדה לבחינת מקרים חריגים.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46.</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שכר הדירה נטו שקבעה היא עצמה עמד על 221.19 ₪, ולא הוצגה חוות דעת לשווי.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הכרטסת אינה ראיה אלא רישום פנימי; ואת הריבית גובה התובעת מכוח חוזה השכירות, שאת קיומו היא עצמה מכחישה.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48.</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8, 13, 14 ו-17 אינו מוכחש ככל שהוא נוגע לזהות הצדדים והדירה, לסמכות, להשכרת הדירה למנוח ולמועד פטירתו; ומוכחשת כל מסקנה משפטית הנגזרת מהם.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2, 9, 10, 15 ו-16 מוכחש: הנתבעת לא פלשה ואינה מחזיקה שלא כדין, ולא נשלחו אליה התראות. הנטען בסעיפים 3, 4, 11, 18, 19, 21, 22 ו-23 מוכחש מן הטעמים המפורטים לעיל.</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אין הכחשה לעצם קיומו של המסמך שבנספח 4, ומוכחש כי מדובר בהחלטה שנתקבלה כדין. סעיפים 12 ו-20 אינם טענות שבעובדה הטעונות הכחשה; ואשר לסעיף 20, הדיור הציבורי אכן נועד למי שידה אינה משגת, ותכלית זו מכוונת אל הנתבעת.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51.</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ולחלופין, לקבוע כי לא קמה עילה לדמי שימוש ראויים כל עוד לא נמסרה הודעה לפי סעיף 3(א) ולא חלפו תשעה חודשים ממסירתה.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2013; ה' מכתב האגף לשירותים חברתיים, יולי 2026; ו' אישור הכרה כנתמכת; ז' אישור המוסד לביטוח לאומי; ח' בקשת ההכרה כדיירת ממשיכה; ט'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2026-09-03T07:44:01.918Z</dcterms:created>
  <dcterms:modified xsi:type="dcterms:W3CDTF">2026-09-03T07:44:01.918Z</dcterms:modified>
</cp:coreProperties>
</file>

<file path=docProps/custom.xml><?xml version="1.0" encoding="utf-8"?>
<Properties xmlns="http://schemas.openxmlformats.org/officeDocument/2006/custom-properties" xmlns:vt="http://schemas.openxmlformats.org/officeDocument/2006/docPropsVTypes"/>
</file>