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color="FFFFFF" w:sz="0"/>
              <w:left w:val="none" w:color="FFFFFF" w:sz="0"/>
              <w:bottom w:val="none" w:color="FFFFFF" w:sz="0"/>
              <w:right w:val="none" w:color="FFFFFF" w:sz="0"/>
            </w:tcBorders>
            <w:tcMar>
              <w:top w:type="dxa" w:w="40"/>
              <w:left w:type="dxa" w:w="0"/>
              <w:bottom w:type="dxa" w:w="40"/>
              <w:right w:type="dxa" w:w="0"/>
            </w:tcMar>
          </w:tcPr>
          <w:p>
            <w:pPr>
              <w:bidi/>
              <w:jc w:val="start"/>
            </w:pPr>
            <w:r>
              <w:rPr>
                <w:rFonts w:ascii="David" w:cs="David" w:eastAsia="David" w:hAnsi="David"/>
                <w:b/>
                <w:bCs/>
                <w:i w:val="false"/>
                <w:iCs w:val="false"/>
                <w:sz w:val="26"/>
                <w:szCs w:val="26"/>
                <w:rtl/>
              </w:rPr>
              <w:t xml:space="preserve">בבית משפט השלום בפתח תקווה</w:t>
            </w:r>
          </w:p>
        </w:tc>
        <w:tc>
          <w:tcPr>
            <w:tcW w:type="dxa" w:w="4536"/>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b/>
                <w:bCs/>
                <w:i w:val="false"/>
                <w:iCs w:val="false"/>
                <w:sz w:val="26"/>
                <w:szCs w:val="26"/>
                <w:rtl/>
              </w:rPr>
              <w:t xml:space="preserve">ת"א ______________</w:t>
            </w:r>
          </w:p>
        </w:tc>
      </w:tr>
    </w:tbl>
    <w:p>
      <w:pPr>
        <w:bidi/>
        <w:spacing w:after="120" w:before="0" w:line="360" w:lineRule="auto"/>
        <w:jc w:val="both"/>
      </w:pP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572"/>
        <w:gridCol w:w="1500"/>
      </w:tblGrid>
      <w:tr>
        <w:tc>
          <w:tcPr>
            <w:tcW w:type="dxa" w:w="7572"/>
            <w:tcBorders>
              <w:top w:val="none" w:color="FFFFFF" w:sz="0"/>
              <w:left w:val="none" w:color="FFFFFF" w:sz="0"/>
              <w:bottom w:val="none" w:color="FFFFFF" w:sz="0"/>
              <w:right w:val="none" w:color="FFFFFF" w:sz="0"/>
            </w:tcBorders>
            <w:tcMar>
              <w:top w:type="dxa" w:w="40"/>
              <w:left w:type="dxa" w:w="0"/>
              <w:bottom w:type="dxa" w:w="40"/>
              <w:right w:type="dxa" w:w="0"/>
            </w:tcMar>
          </w:tcPr>
          <w:p>
            <w:pPr>
              <w:bidi/>
              <w:spacing w:line="300" w:lineRule="auto"/>
              <w:jc w:val="start"/>
            </w:pPr>
            <w:r>
              <w:rPr>
                <w:rFonts w:ascii="David" w:cs="David" w:eastAsia="David" w:hAnsi="David"/>
                <w:b/>
                <w:bCs/>
                <w:i w:val="false"/>
                <w:iCs w:val="false"/>
                <w:sz w:val="24"/>
                <w:szCs w:val="24"/>
                <w:rtl/>
              </w:rPr>
              <w:t xml:space="preserve">עמידר, החברה הלאומית לשיכון בישראל בע"מ, ח.פ. 520017393</w:t>
            </w:r>
          </w:p>
          <w:p>
            <w:pPr>
              <w:bidi/>
              <w:spacing w:line="300" w:lineRule="auto"/>
              <w:jc w:val="start"/>
            </w:pPr>
            <w:r>
              <w:rPr>
                <w:rFonts w:ascii="David" w:cs="David" w:eastAsia="David" w:hAnsi="David"/>
                <w:b w:val="false"/>
                <w:bCs w:val="false"/>
                <w:i w:val="false"/>
                <w:iCs w:val="false"/>
                <w:sz w:val="24"/>
                <w:szCs w:val="24"/>
                <w:rtl/>
              </w:rPr>
              <w:t xml:space="preserve">ע"י ב"כ עוה"ד ליאור סיגון (מ.ר. 57413) ו/או ג'וזף דוד (מ.ר. 82574) ואח', מרח' מצדה 9, בני ברק</w:t>
            </w:r>
          </w:p>
        </w:tc>
        <w:tc>
          <w:tcPr>
            <w:tcW w:type="dxa" w:w="15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b/>
                <w:bCs/>
                <w:i w:val="false"/>
                <w:iCs w:val="false"/>
                <w:sz w:val="24"/>
                <w:szCs w:val="24"/>
                <w:rtl/>
              </w:rPr>
              <w:t xml:space="preserve">התובעת</w:t>
            </w:r>
          </w:p>
        </w:tc>
      </w:tr>
    </w:tbl>
    <w:p>
      <w:pPr>
        <w:bidi/>
        <w:spacing w:after="100" w:before="100"/>
        <w:jc w:val="center"/>
      </w:pPr>
      <w:r>
        <w:rPr>
          <w:rFonts w:ascii="David" w:cs="David" w:eastAsia="David" w:hAnsi="David"/>
          <w:b/>
          <w:bCs/>
          <w:i w:val="false"/>
          <w:iCs w:val="false"/>
          <w:sz w:val="24"/>
          <w:szCs w:val="24"/>
          <w:rtl/>
        </w:rPr>
        <w:t xml:space="preserve">- נ ג ד -</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572"/>
        <w:gridCol w:w="1500"/>
      </w:tblGrid>
      <w:tr>
        <w:tc>
          <w:tcPr>
            <w:tcW w:type="dxa" w:w="7572"/>
            <w:tcBorders>
              <w:top w:val="none" w:color="FFFFFF" w:sz="0"/>
              <w:left w:val="none" w:color="FFFFFF" w:sz="0"/>
              <w:bottom w:val="none" w:color="FFFFFF" w:sz="0"/>
              <w:right w:val="none" w:color="FFFFFF" w:sz="0"/>
            </w:tcBorders>
            <w:tcMar>
              <w:top w:type="dxa" w:w="40"/>
              <w:left w:type="dxa" w:w="0"/>
              <w:bottom w:type="dxa" w:w="40"/>
              <w:right w:type="dxa" w:w="0"/>
            </w:tcMar>
          </w:tcPr>
          <w:p>
            <w:pPr>
              <w:bidi/>
              <w:spacing w:line="300" w:lineRule="auto"/>
              <w:jc w:val="start"/>
            </w:pPr>
            <w:r>
              <w:rPr>
                <w:rFonts w:ascii="David" w:cs="David" w:eastAsia="David" w:hAnsi="David"/>
                <w:b/>
                <w:bCs/>
                <w:i w:val="false"/>
                <w:iCs w:val="false"/>
                <w:sz w:val="24"/>
                <w:szCs w:val="24"/>
                <w:rtl/>
              </w:rPr>
              <w:t xml:space="preserve">טדילה וונדימאג'ן, ת.ז. 303214373, מרח' צה"ל 72/6, פתח תקווה; טל': 050-2213355</w:t>
            </w:r>
          </w:p>
          <w:p>
            <w:pPr>
              <w:bidi/>
              <w:spacing w:line="300" w:lineRule="auto"/>
              <w:jc w:val="start"/>
            </w:pPr>
            <w:r>
              <w:rPr>
                <w:rFonts w:ascii="David" w:cs="David" w:eastAsia="David" w:hAnsi="David"/>
                <w:b w:val="false"/>
                <w:bCs w:val="false"/>
                <w:i w:val="false"/>
                <w:iCs w:val="false"/>
                <w:sz w:val="24"/>
                <w:szCs w:val="24"/>
                <w:rtl/>
              </w:rPr>
              <w:t xml:space="preserve">ע"י ב"כ עו"ד ____________________, מ.ר. __________</w:t>
            </w:r>
          </w:p>
          <w:p>
            <w:pPr>
              <w:bidi/>
              <w:spacing w:line="300" w:lineRule="auto"/>
              <w:jc w:val="start"/>
            </w:pPr>
            <w:r>
              <w:rPr>
                <w:rFonts w:ascii="David" w:cs="David" w:eastAsia="David" w:hAnsi="David"/>
                <w:b w:val="false"/>
                <w:bCs w:val="false"/>
                <w:i w:val="false"/>
                <w:iCs w:val="false"/>
                <w:sz w:val="24"/>
                <w:szCs w:val="24"/>
                <w:rtl/>
              </w:rPr>
              <w:t xml:space="preserve">מרח' ____________________; טל': ____________; דוא"ל: ____________</w:t>
            </w:r>
          </w:p>
        </w:tc>
        <w:tc>
          <w:tcPr>
            <w:tcW w:type="dxa" w:w="1500"/>
            <w:tcBorders>
              <w:top w:val="none" w:color="FFFFFF" w:sz="0"/>
              <w:left w:val="none" w:color="FFFFFF" w:sz="0"/>
              <w:bottom w:val="none" w:color="FFFFFF" w:sz="0"/>
              <w:right w:val="none" w:color="FFFFFF" w:sz="0"/>
            </w:tcBorders>
            <w:tcMar>
              <w:top w:type="dxa" w:w="40"/>
              <w:left w:type="dxa" w:w="0"/>
              <w:bottom w:type="dxa" w:w="40"/>
              <w:right w:type="dxa" w:w="0"/>
            </w:tcMar>
          </w:tcPr>
          <w:p>
            <w:pPr>
              <w:bidi/>
              <w:jc w:val="end"/>
            </w:pPr>
            <w:r>
              <w:rPr>
                <w:rFonts w:ascii="David" w:cs="David" w:eastAsia="David" w:hAnsi="David"/>
                <w:b/>
                <w:bCs/>
                <w:i w:val="false"/>
                <w:iCs w:val="false"/>
                <w:sz w:val="24"/>
                <w:szCs w:val="24"/>
                <w:rtl/>
              </w:rPr>
              <w:t xml:space="preserve">הנתבעת</w:t>
            </w:r>
          </w:p>
        </w:tc>
      </w:tr>
    </w:tbl>
    <w:p>
      <w:pPr>
        <w:keepNext/>
        <w:keepLines/>
        <w:bidi/>
        <w:spacing w:after="200" w:before="240" w:line="360" w:lineRule="auto"/>
        <w:jc w:val="center"/>
      </w:pPr>
      <w:r>
        <w:rPr>
          <w:rFonts w:ascii="David" w:cs="David" w:eastAsia="David" w:hAnsi="David"/>
          <w:b/>
          <w:bCs/>
          <w:i w:val="false"/>
          <w:iCs w:val="false"/>
          <w:sz w:val="32"/>
          <w:szCs w:val="32"/>
          <w:u w:val="single"/>
          <w:rtl/>
        </w:rPr>
        <w:t xml:space="preserve">כתב הגנה</w:t>
      </w:r>
    </w:p>
    <w:p>
      <w:pPr>
        <w:bidi/>
        <w:spacing w:after="80" w:before="0" w:line="360" w:lineRule="auto"/>
        <w:jc w:val="both"/>
      </w:pPr>
      <w:r>
        <w:rPr>
          <w:rFonts w:ascii="David" w:cs="David" w:eastAsia="David" w:hAnsi="David"/>
          <w:b/>
          <w:bCs/>
          <w:i w:val="false"/>
          <w:iCs w:val="false"/>
          <w:sz w:val="24"/>
          <w:szCs w:val="24"/>
          <w:rtl/>
        </w:rPr>
        <w:t xml:space="preserve">מהות התביעה: </w:t>
      </w:r>
      <w:r>
        <w:rPr>
          <w:rFonts w:ascii="David" w:cs="David" w:eastAsia="David" w:hAnsi="David"/>
          <w:b w:val="false"/>
          <w:bCs w:val="false"/>
          <w:i w:val="false"/>
          <w:iCs w:val="false"/>
          <w:sz w:val="24"/>
          <w:szCs w:val="24"/>
          <w:rtl/>
        </w:rPr>
        <w:t xml:space="preserve">כספית. סכום התביעה: 36,533.38 ₪.</w:t>
      </w:r>
    </w:p>
    <w:p>
      <w:pPr>
        <w:bidi/>
        <w:spacing w:after="80" w:before="0" w:line="360" w:lineRule="auto"/>
        <w:jc w:val="both"/>
      </w:pPr>
      <w:r>
        <w:rPr>
          <w:rFonts w:ascii="David" w:cs="David" w:eastAsia="David" w:hAnsi="David"/>
          <w:b/>
          <w:bCs/>
          <w:i w:val="false"/>
          <w:iCs w:val="false"/>
          <w:sz w:val="24"/>
          <w:szCs w:val="24"/>
          <w:rtl/>
        </w:rPr>
        <w:t xml:space="preserve">מסלול הדיון: </w:t>
      </w:r>
      <w:r>
        <w:rPr>
          <w:rFonts w:ascii="David" w:cs="David" w:eastAsia="David" w:hAnsi="David"/>
          <w:b w:val="false"/>
          <w:bCs w:val="false"/>
          <w:i w:val="false"/>
          <w:iCs w:val="false"/>
          <w:sz w:val="24"/>
          <w:szCs w:val="24"/>
          <w:rtl/>
        </w:rPr>
        <w:t xml:space="preserve">דיון מהיר (תקנה 78(א)(1) לתקנות סדר הדין האזרחי, התשע"ט-2018), כפי שמצהירה התובעת בנספח 6 לכתב התביעה.</w:t>
      </w:r>
    </w:p>
    <w:p>
      <w:pPr>
        <w:bidi/>
        <w:spacing w:after="80" w:before="0" w:line="360" w:lineRule="auto"/>
        <w:jc w:val="both"/>
      </w:pPr>
      <w:r>
        <w:rPr>
          <w:rFonts w:ascii="David" w:cs="David" w:eastAsia="David" w:hAnsi="David"/>
          <w:b/>
          <w:bCs/>
          <w:i w:val="false"/>
          <w:iCs w:val="false"/>
          <w:sz w:val="24"/>
          <w:szCs w:val="24"/>
          <w:rtl/>
        </w:rPr>
        <w:t xml:space="preserve">מועד המצאת כתב התביעה לנתבעת: </w:t>
      </w:r>
      <w:r>
        <w:rPr>
          <w:rFonts w:ascii="David" w:cs="David" w:eastAsia="David" w:hAnsi="David"/>
          <w:b w:val="false"/>
          <w:bCs w:val="false"/>
          <w:i w:val="false"/>
          <w:iCs w:val="false"/>
          <w:sz w:val="24"/>
          <w:szCs w:val="24"/>
          <w:rtl/>
        </w:rPr>
        <w:t xml:space="preserve">יום 21.6.2026.</w:t>
      </w:r>
    </w:p>
    <w:p>
      <w:pPr>
        <w:bidi/>
        <w:spacing w:after="80" w:before="0" w:line="360" w:lineRule="auto"/>
        <w:jc w:val="both"/>
      </w:pPr>
      <w:r>
        <w:rPr>
          <w:rFonts w:ascii="David" w:cs="David" w:eastAsia="David" w:hAnsi="David"/>
          <w:b/>
          <w:bCs/>
          <w:i w:val="false"/>
          <w:iCs w:val="false"/>
          <w:sz w:val="24"/>
          <w:szCs w:val="24"/>
          <w:rtl/>
        </w:rPr>
        <w:t xml:space="preserve">מועד אחרון להגשת כתב ההגנה: </w:t>
      </w:r>
      <w:r>
        <w:rPr>
          <w:rFonts w:ascii="David" w:cs="David" w:eastAsia="David" w:hAnsi="David"/>
          <w:b w:val="false"/>
          <w:bCs w:val="false"/>
          <w:i w:val="false"/>
          <w:iCs w:val="false"/>
          <w:sz w:val="24"/>
          <w:szCs w:val="24"/>
          <w:rtl/>
        </w:rPr>
        <w:t xml:space="preserve">יום 4.9.2026.</w:t>
      </w:r>
    </w:p>
    <w:p>
      <w:pPr>
        <w:bidi/>
        <w:spacing w:after="80" w:before="0" w:line="360" w:lineRule="auto"/>
        <w:jc w:val="both"/>
      </w:pPr>
      <w:r>
        <w:rPr>
          <w:rFonts w:ascii="David" w:cs="David" w:eastAsia="David" w:hAnsi="David"/>
          <w:b/>
          <w:bCs/>
          <w:i w:val="false"/>
          <w:iCs w:val="false"/>
          <w:sz w:val="24"/>
          <w:szCs w:val="24"/>
          <w:rtl/>
        </w:rPr>
        <w:t xml:space="preserve">דבר קיומו של הליך נוסף: </w:t>
      </w:r>
      <w:r>
        <w:rPr>
          <w:rFonts w:ascii="David" w:cs="David" w:eastAsia="David" w:hAnsi="David"/>
          <w:b w:val="false"/>
          <w:bCs w:val="false"/>
          <w:i w:val="false"/>
          <w:iCs w:val="false"/>
          <w:sz w:val="24"/>
          <w:szCs w:val="24"/>
          <w:rtl/>
        </w:rPr>
        <w:t xml:space="preserve">ת"א 12718-06-26, תביעה לסילוק יד בין אותם בעלי דין, שלפי כתב התביעה הוגשה "בגין אותה מסכת עובדתית".</w:t>
      </w:r>
    </w:p>
    <w:p>
      <w:pPr>
        <w:bidi/>
        <w:spacing w:after="120" w:before="200" w:line="360" w:lineRule="auto"/>
        <w:jc w:val="both"/>
      </w:pPr>
      <w:r>
        <w:rPr>
          <w:rFonts w:ascii="David" w:cs="David" w:eastAsia="David" w:hAnsi="David"/>
          <w:b w:val="false"/>
          <w:bCs w:val="false"/>
          <w:i w:val="false"/>
          <w:iCs w:val="false"/>
          <w:sz w:val="24"/>
          <w:szCs w:val="24"/>
          <w:rtl/>
        </w:rPr>
        <w:t xml:space="preserve">הנתבעת מתכבדת להגיש כתב הגנה מטעמה. </w:t>
      </w:r>
      <w:r>
        <w:rPr>
          <w:rFonts w:ascii="David" w:cs="David" w:eastAsia="David" w:hAnsi="David"/>
          <w:b/>
          <w:bCs/>
          <w:i w:val="false"/>
          <w:iCs w:val="false"/>
          <w:sz w:val="24"/>
          <w:szCs w:val="24"/>
          <w:rtl/>
        </w:rPr>
        <w:t xml:space="preserve">כל הטענות הנטענות בכתב התביעה מוכחשות, למעט אם צוין במפורש אחרת.</w:t>
      </w:r>
    </w:p>
    <w:p>
      <w:pPr>
        <w:keepNext/>
        <w:keepLines/>
        <w:bidi/>
        <w:spacing w:after="100" w:before="140" w:line="360" w:lineRule="auto"/>
        <w:jc w:val="center"/>
      </w:pPr>
      <w:r>
        <w:rPr>
          <w:rFonts w:ascii="David" w:cs="David" w:eastAsia="David" w:hAnsi="David"/>
          <w:b/>
          <w:bCs/>
          <w:i w:val="false"/>
          <w:iCs w:val="false"/>
          <w:sz w:val="26"/>
          <w:szCs w:val="26"/>
          <w:u w:val="single"/>
          <w:rtl/>
        </w:rPr>
        <w:t xml:space="preserve">חלק שני - עיקר הטענות</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w:t>
      </w:r>
      <w:r>
        <w:rPr>
          <w:rFonts w:ascii="David" w:cs="David" w:eastAsia="David" w:hAnsi="David"/>
          <w:sz w:val="24"/>
          <w:szCs w:val="24"/>
          <w:rtl/>
        </w:rPr>
        <w:tab/>
      </w:r>
      <w:r>
        <w:rPr>
          <w:rFonts w:ascii="David" w:cs="David" w:eastAsia="David" w:hAnsi="David"/>
          <w:b/>
          <w:bCs/>
          <w:i w:val="false"/>
          <w:iCs w:val="false"/>
          <w:sz w:val="24"/>
          <w:szCs w:val="24"/>
          <w:rtl/>
        </w:rPr>
        <w:t xml:space="preserve">פיצול סעדים.</w:t>
      </w:r>
      <w:r>
        <w:rPr>
          <w:rFonts w:ascii="David" w:cs="David" w:eastAsia="David" w:hAnsi="David"/>
          <w:b w:val="false"/>
          <w:bCs w:val="false"/>
          <w:i w:val="false"/>
          <w:iCs w:val="false"/>
          <w:sz w:val="24"/>
          <w:szCs w:val="24"/>
          <w:rtl/>
        </w:rPr>
        <w:t xml:space="preserve"> התובעת מציינת בכתב תביעתה כי תלויה ועומדת נגד הנתבעת תביעה לסילוק יד, ת"א 12718-06-26, "בגין אותה מסכת עובדתית", וכי ניתנה החלטה על איחוד הדיון בין ההליכים.</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תקנות 24 ו-25(ב) לתקנות מחייבות לכלול בכתב תביעה אחד את כל העילות והסעדים בשל אותה מסכת עובדתית, זולת אם ניתנה רשות לפיצול. רשות כזו לא נטענה ולא הוצגה, ובהחלטת האיחוד אין רשות בדיעבד; דין התביעה להימחק.</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w:t>
      </w:r>
      <w:r>
        <w:rPr>
          <w:rFonts w:ascii="David" w:cs="David" w:eastAsia="David" w:hAnsi="David"/>
          <w:sz w:val="24"/>
          <w:szCs w:val="24"/>
          <w:rtl/>
        </w:rPr>
        <w:tab/>
      </w:r>
      <w:r>
        <w:rPr>
          <w:rFonts w:ascii="David" w:cs="David" w:eastAsia="David" w:hAnsi="David"/>
          <w:b/>
          <w:bCs/>
          <w:i w:val="false"/>
          <w:iCs w:val="false"/>
          <w:sz w:val="24"/>
          <w:szCs w:val="24"/>
          <w:rtl/>
        </w:rPr>
        <w:t xml:space="preserve">אי-צירוף מסמכים.</w:t>
      </w:r>
      <w:r>
        <w:rPr>
          <w:rFonts w:ascii="David" w:cs="David" w:eastAsia="David" w:hAnsi="David"/>
          <w:b w:val="false"/>
          <w:bCs w:val="false"/>
          <w:i w:val="false"/>
          <w:iCs w:val="false"/>
          <w:sz w:val="24"/>
          <w:szCs w:val="24"/>
          <w:rtl/>
        </w:rPr>
        <w:t xml:space="preserve"> התביעה נשענת על טענה אחת: כי ועדה מוסמכת שללה מן הנתבעת מעמד של דיירת ממשיכה. ההחלטה עצמה לא צורפה, וכמוה גם ההתראות הנטענות בסעיף 2 לכתב התביעה, בניגוד לתקנה 79(א)(2).</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4.</w:t>
      </w:r>
      <w:r>
        <w:rPr>
          <w:rFonts w:ascii="David" w:cs="David" w:eastAsia="David" w:hAnsi="David"/>
          <w:sz w:val="24"/>
          <w:szCs w:val="24"/>
          <w:rtl/>
        </w:rPr>
        <w:tab/>
      </w:r>
      <w:r>
        <w:rPr>
          <w:rFonts w:ascii="David" w:cs="David" w:eastAsia="David" w:hAnsi="David"/>
          <w:b/>
          <w:bCs/>
          <w:i w:val="false"/>
          <w:iCs w:val="false"/>
          <w:sz w:val="24"/>
          <w:szCs w:val="24"/>
          <w:rtl/>
        </w:rPr>
        <w:t xml:space="preserve">הנתבעת אינה פולשת.</w:t>
      </w:r>
      <w:r>
        <w:rPr>
          <w:rFonts w:ascii="David" w:cs="David" w:eastAsia="David" w:hAnsi="David"/>
          <w:b w:val="false"/>
          <w:bCs w:val="false"/>
          <w:i w:val="false"/>
          <w:iCs w:val="false"/>
          <w:sz w:val="24"/>
          <w:szCs w:val="24"/>
          <w:rtl/>
        </w:rPr>
        <w:t xml:space="preserve"> היא בתו של הדייר החוזי, מר מנבר וונדימאג'ן ז"ל, שהתגורר בדירה מיום 8.8.1996 ועד לפטירתו ביום 16.2.2024. הנתבעת גדלה בדירה ושבה אליה בסמוך לדצמבר 2023 כדי לסעוד את אביה עד לפטירתו.</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5.</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מאז היא מתגוררת בדירה, שהיא ביתה היחיד. מי שאלה נסיבות כניסתה אינה "פולשת", ולכל היותר עסקינן בבת-רשות.</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6.</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לחלופין תטען הנתבעת כי היא "דייר ממשיך" כהגדרתו בסעיף 1 לחוק זכויות הדייר בדיור הציבורי, התשנ"ח-1998, וכי מתקיים בה תנאי הוראת המעבר, שבגדרה מוסיף לחול עליה נוסחו הקודם של סעיף 3 לחוק.</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7.</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ודוק, זהו התנאי שהתובעת עצמה הציבה בראש טבלת ביקורי המעגל שבנספח 4: "ביקורי מעגל לדייר הממשיך מתאריך 1.8.09 ועד מועד הבקשה ולא פחות מ-4 שנות מגורים רצופות". הנתבעת התגוררה בדירה מיום 1.8.2009 וברציפות כעשר שנים.</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8.</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ומכל מקום, שאלת מגוריה לא נבדקה מעולם ומקומה להתברר בראיות.</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9.</w:t>
      </w:r>
      <w:r>
        <w:rPr>
          <w:rFonts w:ascii="David" w:cs="David" w:eastAsia="David" w:hAnsi="David"/>
          <w:sz w:val="24"/>
          <w:szCs w:val="24"/>
          <w:rtl/>
        </w:rPr>
        <w:tab/>
      </w:r>
      <w:r>
        <w:rPr>
          <w:rFonts w:ascii="David" w:cs="David" w:eastAsia="David" w:hAnsi="David"/>
          <w:b/>
          <w:bCs/>
          <w:i w:val="false"/>
          <w:iCs w:val="false"/>
          <w:sz w:val="24"/>
          <w:szCs w:val="24"/>
          <w:rtl/>
        </w:rPr>
        <w:t xml:space="preserve">גם לשיטת התובעת אין מדובר בהחזקה שלא כדין.</w:t>
      </w:r>
      <w:r>
        <w:rPr>
          <w:rFonts w:ascii="David" w:cs="David" w:eastAsia="David" w:hAnsi="David"/>
          <w:b w:val="false"/>
          <w:bCs w:val="false"/>
          <w:i w:val="false"/>
          <w:iCs w:val="false"/>
          <w:sz w:val="24"/>
          <w:szCs w:val="24"/>
          <w:rtl/>
        </w:rPr>
        <w:t xml:space="preserve"> סעיף 3(א) לחוק אינו הופך דייר ממשיך לפולש, אלא מחייבו לפנות את הדירה "בתוך תשעה חודשים מהמועד שבו נמסרה לו הודעה מאת משרד הבינוי והשיכון, בדבר אי-זכאותו לדירה ציבורית לפי הכללים".</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10.</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הודעה כזו לא נמסרה לנתבעת ואיננה בין נספחי כתב התביעה. כל עוד לא נמסרה, ובמשך תשעה חודשים לאחר מסירתה, החזקתה בדירה כדין ולא קמה עילה לדמי שימוש ראויים.</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11.</w:t>
      </w:r>
      <w:r>
        <w:rPr>
          <w:rFonts w:ascii="David" w:cs="David" w:eastAsia="David" w:hAnsi="David"/>
          <w:sz w:val="24"/>
          <w:szCs w:val="24"/>
          <w:rtl/>
        </w:rPr>
        <w:tab/>
      </w:r>
      <w:r>
        <w:rPr>
          <w:rFonts w:ascii="David" w:cs="David" w:eastAsia="David" w:hAnsi="David"/>
          <w:b/>
          <w:bCs/>
          <w:i w:val="false"/>
          <w:iCs w:val="false"/>
          <w:sz w:val="24"/>
          <w:szCs w:val="24"/>
          <w:rtl/>
        </w:rPr>
        <w:t xml:space="preserve">התובעת עצמה לא ראתה בנתבעת פולשת.</w:t>
      </w:r>
      <w:r>
        <w:rPr>
          <w:rFonts w:ascii="David" w:cs="David" w:eastAsia="David" w:hAnsi="David"/>
          <w:b w:val="false"/>
          <w:bCs w:val="false"/>
          <w:i w:val="false"/>
          <w:iCs w:val="false"/>
          <w:sz w:val="24"/>
          <w:szCs w:val="24"/>
          <w:rtl/>
        </w:rPr>
        <w:t xml:space="preserve"> ביום 3.7.2024, בידיעה על הפטירה, רשמה נציגתה כי סטטוס החוזה "פעיל", שכר הדירה נטו 221.19 ₪, הנחת המדרוג בתוקף עד 30.9.2024 ו"חוב בתביעה" 0; והיא אף הוסיפה לגבות תשלומים בפועל.</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12.</w:t>
      </w:r>
      <w:r>
        <w:rPr>
          <w:rFonts w:ascii="David" w:cs="David" w:eastAsia="David" w:hAnsi="David"/>
          <w:sz w:val="24"/>
          <w:szCs w:val="24"/>
          <w:rtl/>
        </w:rPr>
        <w:tab/>
      </w:r>
      <w:r>
        <w:rPr>
          <w:rFonts w:ascii="David" w:cs="David" w:eastAsia="David" w:hAnsi="David"/>
          <w:b/>
          <w:bCs/>
          <w:i w:val="false"/>
          <w:iCs w:val="false"/>
          <w:sz w:val="24"/>
          <w:szCs w:val="24"/>
          <w:rtl/>
        </w:rPr>
        <w:t xml:space="preserve">ההחלטה בטלה והסכום לא הוכח.</w:t>
      </w:r>
      <w:r>
        <w:rPr>
          <w:rFonts w:ascii="David" w:cs="David" w:eastAsia="David" w:hAnsi="David"/>
          <w:b w:val="false"/>
          <w:bCs w:val="false"/>
          <w:i w:val="false"/>
          <w:iCs w:val="false"/>
          <w:sz w:val="24"/>
          <w:szCs w:val="24"/>
          <w:rtl/>
        </w:rPr>
        <w:t xml:space="preserve"> ההחלטה ניתנה ללא הנמקה, ללא שימוע וללא המצאה, על יסוד תשתית הסותרת את עצמה ומבלי שנבחנה זכאותה העצמאית של הנתבעת; הנתבעת תוקפת אותה בתקיפה עקיפה.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13.</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ואשר לסכום, לא הוצגה חוות דעת לשווי, והחיוב החודשי שגזרה התובעת לעצמה גבוה פי שלושה עשר משכר הדירה נטו שהיא עצמה קבעה. אף לא נמסרה הודעה בכתב על סיום השכירות, כנדרש בסעיף 2 לחוזה.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14.</w:t>
      </w:r>
      <w:r>
        <w:rPr>
          <w:rFonts w:ascii="David" w:cs="David" w:eastAsia="David" w:hAnsi="David"/>
          <w:sz w:val="24"/>
          <w:szCs w:val="24"/>
          <w:rtl/>
        </w:rPr>
        <w:tab/>
      </w:r>
      <w:r>
        <w:rPr>
          <w:rFonts w:ascii="David" w:cs="David" w:eastAsia="David" w:hAnsi="David"/>
          <w:b/>
          <w:bCs/>
          <w:i w:val="false"/>
          <w:iCs w:val="false"/>
          <w:sz w:val="24"/>
          <w:szCs w:val="24"/>
          <w:rtl/>
        </w:rPr>
        <w:t xml:space="preserve">הסעד המבוקש.</w:t>
      </w:r>
      <w:r>
        <w:rPr>
          <w:rFonts w:ascii="David" w:cs="David" w:eastAsia="David" w:hAnsi="David"/>
          <w:b w:val="false"/>
          <w:bCs w:val="false"/>
          <w:i w:val="false"/>
          <w:iCs w:val="false"/>
          <w:sz w:val="24"/>
          <w:szCs w:val="24"/>
          <w:rtl/>
        </w:rPr>
        <w:t xml:space="preserve"> דין התביעה להידחות. לחלופין, ולנוכח היות הנתבעת נכה בשיעור 100% שאינה עובדת, מוכרת ברווחה וסמוכה על קצבת המוסד לביטוח לאומי, מתבקש פטור מהשבה לפי סעיף 2 לחוק עשיית עושר ולא במשפט, התשל"ט-1979.</w:t>
      </w:r>
    </w:p>
    <w:p>
      <w:pPr>
        <w:keepNext/>
        <w:keepLines/>
        <w:bidi/>
        <w:spacing w:after="100" w:before="140" w:line="360" w:lineRule="auto"/>
        <w:jc w:val="center"/>
      </w:pPr>
      <w:r>
        <w:rPr>
          <w:rFonts w:ascii="David" w:cs="David" w:eastAsia="David" w:hAnsi="David"/>
          <w:b/>
          <w:bCs/>
          <w:i w:val="false"/>
          <w:iCs w:val="false"/>
          <w:sz w:val="26"/>
          <w:szCs w:val="26"/>
          <w:u w:val="single"/>
          <w:rtl/>
        </w:rPr>
        <w:t xml:space="preserve">חלק שלישי - טיעון עובדתי</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15.</w:t>
      </w:r>
      <w:r>
        <w:rPr>
          <w:rFonts w:ascii="David" w:cs="David" w:eastAsia="David" w:hAnsi="David"/>
          <w:sz w:val="24"/>
          <w:szCs w:val="24"/>
          <w:rtl/>
        </w:rPr>
        <w:tab/>
      </w:r>
      <w:r>
        <w:rPr>
          <w:rFonts w:ascii="David" w:cs="David" w:eastAsia="David" w:hAnsi="David"/>
          <w:b/>
          <w:bCs/>
          <w:i w:val="false"/>
          <w:iCs w:val="false"/>
          <w:sz w:val="24"/>
          <w:szCs w:val="24"/>
          <w:rtl/>
        </w:rPr>
        <w:t xml:space="preserve">הרקע.</w:t>
      </w:r>
      <w:r>
        <w:rPr>
          <w:rFonts w:ascii="David" w:cs="David" w:eastAsia="David" w:hAnsi="David"/>
          <w:b w:val="false"/>
          <w:bCs w:val="false"/>
          <w:i w:val="false"/>
          <w:iCs w:val="false"/>
          <w:sz w:val="24"/>
          <w:szCs w:val="24"/>
          <w:rtl/>
        </w:rPr>
        <w:t xml:space="preserve"> הדירה ברח' צה"ל 72/6 בפתח תקווה הושכרה לאביה המנוח של הנתבעת על פי חוזה מיום 29.8.1996. המנוח, יליד 1943, עלה לישראל מאתיופיה בשנת 1991 ונפטר ביום 16.2.2024.</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16.</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תעודת הפטירה, שהתובעת עצמה צירפה כנספח 3, נשלחה ביום 10.3.2024 מלשכת רשות האוכלוסין בפתח תקווה אל הנתבעת, בכתובת הדירה.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17.</w:t>
      </w:r>
      <w:r>
        <w:rPr>
          <w:rFonts w:ascii="David" w:cs="David" w:eastAsia="David" w:hAnsi="David"/>
          <w:sz w:val="24"/>
          <w:szCs w:val="24"/>
          <w:rtl/>
        </w:rPr>
        <w:tab/>
      </w:r>
      <w:r>
        <w:rPr>
          <w:rFonts w:ascii="David" w:cs="David" w:eastAsia="David" w:hAnsi="David"/>
          <w:b/>
          <w:bCs/>
          <w:i w:val="false"/>
          <w:iCs w:val="false"/>
          <w:sz w:val="24"/>
          <w:szCs w:val="24"/>
          <w:rtl/>
        </w:rPr>
        <w:t xml:space="preserve">נסיבות מגוריה של הנתבעת.</w:t>
      </w:r>
      <w:r>
        <w:rPr>
          <w:rFonts w:ascii="David" w:cs="David" w:eastAsia="David" w:hAnsi="David"/>
          <w:b w:val="false"/>
          <w:bCs w:val="false"/>
          <w:i w:val="false"/>
          <w:iCs w:val="false"/>
          <w:sz w:val="24"/>
          <w:szCs w:val="24"/>
          <w:rtl/>
        </w:rPr>
        <w:t xml:space="preserve"> היא גדלה בדירה והתגוררה בה מילדותה, לרבות ביום 1.8.2009 וברציפות עד לשנת 2019. באותה שנה, על רקע מתח וקושי שנתגלעו בינה לבין אביה, שכרה דירה בסמוך כדי שיהיה בידה מקום לינה נפרד.</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18.</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היא לא נטשה את אביה ולא חדלה מלבקרו: הגיעה אליו בתדירות גבוהה, הכינה עבורו אוכל ודאגה לצרכיו. הדירה היא ביתה היחיד, ואין לה דירה בבעלותה.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19.</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בסמוך לחודש דצמבר 2023, כשבעה חודשים בטרם פקע חוזה השכירות שלה, עזבה את הדירה השכורה ועברה לשהות לצד אביה ולסעוד אותו עד לפטירתו; ומאז היא מתגוררת בדירה ברציפות.</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20.</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ודוק, בטבלת ביקורי המעגל שבנספח 4 נרשם "לא" ביחס לדייר ממשיך בכל אחת מן השנים 2010 עד 2019, עשור שלם שבו התגוררה הנתבעת בדירה, בלא שנשאלה, זומנה או נשמעה ולו פעם אחת.</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21.</w:t>
      </w:r>
      <w:r>
        <w:rPr>
          <w:rFonts w:ascii="David" w:cs="David" w:eastAsia="David" w:hAnsi="David"/>
          <w:sz w:val="24"/>
          <w:szCs w:val="24"/>
          <w:rtl/>
        </w:rPr>
        <w:tab/>
      </w:r>
      <w:r>
        <w:rPr>
          <w:rFonts w:ascii="David" w:cs="David" w:eastAsia="David" w:hAnsi="David"/>
          <w:b/>
          <w:bCs/>
          <w:i w:val="false"/>
          <w:iCs w:val="false"/>
          <w:sz w:val="24"/>
          <w:szCs w:val="24"/>
          <w:rtl/>
        </w:rPr>
        <w:t xml:space="preserve">הביקור מיום 3.7.2024.</w:t>
      </w:r>
      <w:r>
        <w:rPr>
          <w:rFonts w:ascii="David" w:cs="David" w:eastAsia="David" w:hAnsi="David"/>
          <w:b w:val="false"/>
          <w:bCs w:val="false"/>
          <w:i w:val="false"/>
          <w:iCs w:val="false"/>
          <w:sz w:val="24"/>
          <w:szCs w:val="24"/>
          <w:rtl/>
        </w:rPr>
        <w:t xml:space="preserve"> כארבעה חודשים וחצי לאחר הפטירה ערכה נציגת התובעת ביקור בדירה, ורשמה בטופס "סיכום ביקור" (עמ' 38 לכתב התביעה): </w:t>
      </w:r>
      <w:r>
        <w:rPr>
          <w:rFonts w:ascii="David" w:cs="David" w:eastAsia="David" w:hAnsi="David"/>
          <w:b/>
          <w:bCs/>
          <w:i w:val="false"/>
          <w:iCs w:val="false"/>
          <w:sz w:val="24"/>
          <w:szCs w:val="24"/>
          <w:rtl/>
        </w:rPr>
        <w:t xml:space="preserve">"דייר חוזי נפטר, ביקור עם הבת עדן טדלה"</w:t>
      </w:r>
      <w:r>
        <w:rPr>
          <w:rFonts w:ascii="David" w:cs="David" w:eastAsia="David" w:hAnsi="David"/>
          <w:b w:val="false"/>
          <w:bCs w:val="false"/>
          <w:i w:val="false"/>
          <w:iCs w:val="false"/>
          <w:sz w:val="24"/>
          <w:szCs w:val="24"/>
          <w:rtl/>
        </w:rPr>
        <w:t xml:space="preserve">. "עדן" הוא שמה העברי של הנתבעת, והביקור נערך עמה בדירה;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22.</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ובהתאם לכך אף סומן בטבלה שבנספח 4, בשורת אותו ביקור, כי דייר ממשיך מתגורר בדירה. ובאותו טופס נרשם: </w:t>
      </w:r>
      <w:r>
        <w:rPr>
          <w:rFonts w:ascii="David" w:cs="David" w:eastAsia="David" w:hAnsi="David"/>
          <w:b/>
          <w:bCs/>
          <w:i w:val="false"/>
          <w:iCs w:val="false"/>
          <w:sz w:val="24"/>
          <w:szCs w:val="24"/>
          <w:rtl/>
        </w:rPr>
        <w:t xml:space="preserve">"סטטוס חוזה: פעיל"</w:t>
      </w:r>
      <w:r>
        <w:rPr>
          <w:rFonts w:ascii="David" w:cs="David" w:eastAsia="David" w:hAnsi="David"/>
          <w:b w:val="false"/>
          <w:bCs w:val="false"/>
          <w:i w:val="false"/>
          <w:iCs w:val="false"/>
          <w:sz w:val="24"/>
          <w:szCs w:val="24"/>
          <w:rtl/>
        </w:rPr>
        <w:t xml:space="preserve">; "שימוש בפועל: מגורים"; </w:t>
      </w:r>
      <w:r>
        <w:rPr>
          <w:rFonts w:ascii="David" w:cs="David" w:eastAsia="David" w:hAnsi="David"/>
          <w:b/>
          <w:bCs/>
          <w:i w:val="false"/>
          <w:iCs w:val="false"/>
          <w:sz w:val="24"/>
          <w:szCs w:val="24"/>
          <w:rtl/>
        </w:rPr>
        <w:t xml:space="preserve">"שכ"ד נטו: 221.19"</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"מועד סיום הנחה: 30/09/2024"</w:t>
      </w:r>
      <w:r>
        <w:rPr>
          <w:rFonts w:ascii="David" w:cs="David" w:eastAsia="David" w:hAnsi="David"/>
          <w:b w:val="false"/>
          <w:bCs w:val="false"/>
          <w:i w:val="false"/>
          <w:iCs w:val="false"/>
          <w:sz w:val="24"/>
          <w:szCs w:val="24"/>
          <w:rtl/>
        </w:rPr>
        <w:t xml:space="preserve">; </w:t>
      </w:r>
      <w:r>
        <w:rPr>
          <w:rFonts w:ascii="David" w:cs="David" w:eastAsia="David" w:hAnsi="David"/>
          <w:b/>
          <w:bCs/>
          <w:i w:val="false"/>
          <w:iCs w:val="false"/>
          <w:sz w:val="24"/>
          <w:szCs w:val="24"/>
          <w:rtl/>
        </w:rPr>
        <w:t xml:space="preserve">"חוב בתביעה: 0"</w:t>
      </w:r>
      <w:r>
        <w:rPr>
          <w:rFonts w:ascii="David" w:cs="David" w:eastAsia="David" w:hAnsi="David"/>
          <w:b w:val="false"/>
          <w:bCs w:val="false"/>
          <w:i w:val="false"/>
          <w:iCs w:val="false"/>
          <w:sz w:val="24"/>
          <w:szCs w:val="24"/>
          <w:rtl/>
        </w:rPr>
        <w:t xml:space="preserve">.</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23.</w:t>
      </w:r>
      <w:r>
        <w:rPr>
          <w:rFonts w:ascii="David" w:cs="David" w:eastAsia="David" w:hAnsi="David"/>
          <w:sz w:val="24"/>
          <w:szCs w:val="24"/>
          <w:rtl/>
        </w:rPr>
        <w:tab/>
      </w:r>
      <w:r>
        <w:rPr>
          <w:rFonts w:ascii="David" w:cs="David" w:eastAsia="David" w:hAnsi="David"/>
          <w:b/>
          <w:bCs/>
          <w:i w:val="false"/>
          <w:iCs w:val="false"/>
          <w:sz w:val="24"/>
          <w:szCs w:val="24"/>
          <w:rtl/>
        </w:rPr>
        <w:t xml:space="preserve">הכספים.</w:t>
      </w:r>
      <w:r>
        <w:rPr>
          <w:rFonts w:ascii="David" w:cs="David" w:eastAsia="David" w:hAnsi="David"/>
          <w:b w:val="false"/>
          <w:bCs w:val="false"/>
          <w:i w:val="false"/>
          <w:iCs w:val="false"/>
          <w:sz w:val="24"/>
          <w:szCs w:val="24"/>
          <w:rtl/>
        </w:rPr>
        <w:t xml:space="preserve"> ביום 23.7.2024, כחמישה חודשים לאחר הפטירה, הנפיקה התובעת קבלה על סך 1,355.71 ₪ בגין </w:t>
      </w:r>
      <w:r>
        <w:rPr>
          <w:rFonts w:ascii="David" w:cs="David" w:eastAsia="David" w:hAnsi="David"/>
          <w:b/>
          <w:bCs/>
          <w:i w:val="false"/>
          <w:iCs w:val="false"/>
          <w:sz w:val="24"/>
          <w:szCs w:val="24"/>
          <w:rtl/>
        </w:rPr>
        <w:t xml:space="preserve">שכר דירה</w:t>
      </w:r>
      <w:r>
        <w:rPr>
          <w:rFonts w:ascii="David" w:cs="David" w:eastAsia="David" w:hAnsi="David"/>
          <w:b w:val="false"/>
          <w:bCs w:val="false"/>
          <w:i w:val="false"/>
          <w:iCs w:val="false"/>
          <w:sz w:val="24"/>
          <w:szCs w:val="24"/>
          <w:rtl/>
        </w:rPr>
        <w:t xml:space="preserve"> (קוד 101) לחודשים 02/2024 עד 07/2024, על שם הדייר החוזי המנוח ולחשבונו; הסכום שולם (נספח א').</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24.</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ואולם ביום 17.9.2024, לאחר החלטת הוועדה, הוציאה התובעת שובר על שם הנתבעת, ובו נדרשה לשלם בגין אותם חודשים בתוספת שניים סך 21,730.81 ₪ תחת הכותרת </w:t>
      </w:r>
      <w:r>
        <w:rPr>
          <w:rFonts w:ascii="David" w:cs="David" w:eastAsia="David" w:hAnsi="David"/>
          <w:b/>
          <w:bCs/>
          <w:i w:val="false"/>
          <w:iCs w:val="false"/>
          <w:sz w:val="24"/>
          <w:szCs w:val="24"/>
          <w:rtl/>
        </w:rPr>
        <w:t xml:space="preserve">"דמי שמוש ראויים"</w:t>
      </w:r>
      <w:r>
        <w:rPr>
          <w:rFonts w:ascii="David" w:cs="David" w:eastAsia="David" w:hAnsi="David"/>
          <w:b w:val="false"/>
          <w:bCs w:val="false"/>
          <w:i w:val="false"/>
          <w:iCs w:val="false"/>
          <w:sz w:val="24"/>
          <w:szCs w:val="24"/>
          <w:rtl/>
        </w:rPr>
        <w:t xml:space="preserve"> (קוד 103); כך חויבה הדירה פעמיים (נספח ב').</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25.</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ביום 27.3.2025 שילמה הנתבעת 2,911.01 ₪ נוספים על פי שובר שהתובעת שלחה אליה (נספח ג'). ואף לפי הכרטסת, מספר חודשי אי-התשלום הוא 12 מתוך למעלה מעשרים וארבעה.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26.</w:t>
      </w:r>
      <w:r>
        <w:rPr>
          <w:rFonts w:ascii="David" w:cs="David" w:eastAsia="David" w:hAnsi="David"/>
          <w:sz w:val="24"/>
          <w:szCs w:val="24"/>
          <w:rtl/>
        </w:rPr>
        <w:tab/>
      </w:r>
      <w:r>
        <w:rPr>
          <w:rFonts w:ascii="David" w:cs="David" w:eastAsia="David" w:hAnsi="David"/>
          <w:b/>
          <w:bCs/>
          <w:i w:val="false"/>
          <w:iCs w:val="false"/>
          <w:sz w:val="24"/>
          <w:szCs w:val="24"/>
          <w:rtl/>
        </w:rPr>
        <w:t xml:space="preserve">פגמי הטופס.</w:t>
      </w:r>
      <w:r>
        <w:rPr>
          <w:rFonts w:ascii="David" w:cs="David" w:eastAsia="David" w:hAnsi="David"/>
          <w:b w:val="false"/>
          <w:bCs w:val="false"/>
          <w:i w:val="false"/>
          <w:iCs w:val="false"/>
          <w:sz w:val="24"/>
          <w:szCs w:val="24"/>
          <w:rtl/>
        </w:rPr>
        <w:t xml:space="preserve"> נספח 4 אינו החלטה אלא טופס שרובו לא מולא. הפרק "נימוקים והמלצות" נותר ריק, והפרק "החלטת הוועדה המחוזית" נושא שתי שורות בכתב יד שאינן קריאות בעותק שהומצא, ואין בהן דיון בתנאי החוק.</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27.</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השדה "מצ"ב החלטת ועדה מיום ___" נותר ריק, בעוד המסמך שאליו הוא מפנה לא הוצג; וחובת ההנמקה קבועה בסעיף 2 לחוק לתיקון סדרי המינהל (החלטות והנמקות), התשי"ט-1958.</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28.</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הרובריקה שיועדה לסגן מנהל מרכז השירות, שבה אמורים היו להירשם אישורי משרד הבינוי והשיכון והממצאים, נותרה ריקה בכל שורותיה, בלא שם ובלא חתימה.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29.</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בכלל אותן שורות ריקות השדות "חסר דירה" ו"מומש סיוע בשכ"ד", שבהם נבחנת זכאותה העצמאית של הנתבעת לדירה ציבורית לפי הכללים - היא החלופה שבסעיף 3(ב) לחוק, אשר בהתקיימה רואים את הדייר הממשיך כמי שבא בנעלי הזכאי.</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30.</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משכך, הקביעה שבסעיף 19 לכתב התביעה, ולפיה לא עמדה הנתבעת בתבחינים, אינה קביעה אלא הנחה; ומכל מקום, ועדה פנימית של התובעת אינה משרד הבינוי והשיכון.</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31.</w:t>
      </w:r>
      <w:r>
        <w:rPr>
          <w:rFonts w:ascii="David" w:cs="David" w:eastAsia="David" w:hAnsi="David"/>
          <w:sz w:val="24"/>
          <w:szCs w:val="24"/>
          <w:rtl/>
        </w:rPr>
        <w:tab/>
      </w:r>
      <w:r>
        <w:rPr>
          <w:rFonts w:ascii="David" w:cs="David" w:eastAsia="David" w:hAnsi="David"/>
          <w:b/>
          <w:bCs/>
          <w:i w:val="false"/>
          <w:iCs w:val="false"/>
          <w:sz w:val="24"/>
          <w:szCs w:val="24"/>
          <w:rtl/>
        </w:rPr>
        <w:t xml:space="preserve">התשתית סותרת את עצמה.</w:t>
      </w:r>
      <w:r>
        <w:rPr>
          <w:rFonts w:ascii="David" w:cs="David" w:eastAsia="David" w:hAnsi="David"/>
          <w:b w:val="false"/>
          <w:bCs w:val="false"/>
          <w:i w:val="false"/>
          <w:iCs w:val="false"/>
          <w:sz w:val="24"/>
          <w:szCs w:val="24"/>
          <w:rtl/>
        </w:rPr>
        <w:t xml:space="preserve"> מסקנת הטופס נסמכת כולה על טבלת ביקורי המעגל שערכה התובעת לעצמה (עמ' 42), וזו אינה יכולה לשאתה. ביחס לביקור מיום 3.7.2024 נרשם בטבלה כי הדייר החוזי "גר: כן", ארבעה חודשים וחצי לאחר פטירתו.</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32.</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ולגבי הביקור מיום 18.12.2023, האחרון בחיי המנוח, נרשם אצל הדייר הממשיך "לא"; ואילו דוח הביקור לאותו מועד ממש (עמ' 37) קובע: </w:t>
      </w:r>
      <w:r>
        <w:rPr>
          <w:rFonts w:ascii="David" w:cs="David" w:eastAsia="David" w:hAnsi="David"/>
          <w:b/>
          <w:bCs/>
          <w:i w:val="false"/>
          <w:iCs w:val="false"/>
          <w:sz w:val="24"/>
          <w:szCs w:val="24"/>
          <w:rtl/>
        </w:rPr>
        <w:t xml:space="preserve">"נקבע מספר פעמים ביקור בית, הדייר אומר אני אהיה בבית, לא נצא"</w:t>
      </w:r>
      <w:r>
        <w:rPr>
          <w:rFonts w:ascii="David" w:cs="David" w:eastAsia="David" w:hAnsi="David"/>
          <w:b w:val="false"/>
          <w:bCs w:val="false"/>
          <w:i w:val="false"/>
          <w:iCs w:val="false"/>
          <w:sz w:val="24"/>
          <w:szCs w:val="24"/>
          <w:rtl/>
        </w:rPr>
        <w:t xml:space="preserve"> [כך במקור].</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33.</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ואף על פי כן נושא אותו דוח דירוגי מצב מפורטים לכל חדרי הדירה, שלושה סימוני אישור ובהם "אני מאשר בחתימתי את כל הנתונים שבסיכום זה לאחר שקראתי אותו והבנתי אותו", וחותמת </w:t>
      </w:r>
      <w:r>
        <w:rPr>
          <w:rFonts w:ascii="David" w:cs="David" w:eastAsia="David" w:hAnsi="David"/>
          <w:b/>
          <w:bCs/>
          <w:i w:val="false"/>
          <w:iCs w:val="false"/>
          <w:sz w:val="24"/>
          <w:szCs w:val="24"/>
          <w:rtl/>
        </w:rPr>
        <w:t xml:space="preserve">"מסרב לחתום"</w:t>
      </w:r>
      <w:r>
        <w:rPr>
          <w:rFonts w:ascii="David" w:cs="David" w:eastAsia="David" w:hAnsi="David"/>
          <w:b w:val="false"/>
          <w:bCs w:val="false"/>
          <w:i w:val="false"/>
          <w:iCs w:val="false"/>
          <w:sz w:val="24"/>
          <w:szCs w:val="24"/>
          <w:rtl/>
        </w:rPr>
        <w:t xml:space="preserve">.</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34.</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קרי, בדיקה פנימית של הדירה כולה וקביעה פוזיטיבית, על יסוד ביקור שלא נערך. והמוקדם שברישומי הטבלה הוא מיום 11.8.2010, כך שביחס ליום 1.8.2009, נקודת המוצא של אמת המידה, אין בה דבר.</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35.</w:t>
      </w:r>
      <w:r>
        <w:rPr>
          <w:rFonts w:ascii="David" w:cs="David" w:eastAsia="David" w:hAnsi="David"/>
          <w:sz w:val="24"/>
          <w:szCs w:val="24"/>
          <w:rtl/>
        </w:rPr>
        <w:tab/>
      </w:r>
      <w:r>
        <w:rPr>
          <w:rFonts w:ascii="David" w:cs="David" w:eastAsia="David" w:hAnsi="David"/>
          <w:b/>
          <w:bCs/>
          <w:i w:val="false"/>
          <w:iCs w:val="false"/>
          <w:sz w:val="24"/>
          <w:szCs w:val="24"/>
          <w:rtl/>
        </w:rPr>
        <w:t xml:space="preserve">תצהיר המנוח מיום 10.11.2021.</w:t>
      </w:r>
      <w:r>
        <w:rPr>
          <w:rFonts w:ascii="David" w:cs="David" w:eastAsia="David" w:hAnsi="David"/>
          <w:b w:val="false"/>
          <w:bCs w:val="false"/>
          <w:i w:val="false"/>
          <w:iCs w:val="false"/>
          <w:sz w:val="24"/>
          <w:szCs w:val="24"/>
          <w:rtl/>
        </w:rPr>
        <w:t xml:space="preserve"> הנטען בסעיף 16 לכתב התביעה נסמך על טופס מודפס (עמ' 35), שעליו החתימה התובעת את המנוח בביקור מטעמה. המנוח היה אז כבן שבעים ושמונה; הוא דובר אמהרית, לא ידע קרוא וכתוב ולא שלט בעברית.</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36.</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מי שהחתימה אותו היא גב' נטלי לוגסי, מנהלת תיק הלקוח מטעם התובעת, שאינה דוברת אמהרית; ובדוח הביקור שערכה (עמ' 33) נרשם "ביקור בוצע ב 10/11/21", הוא יום החתימה.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37.</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בפרק "אישור חתימה" שבתחתית הטופס מציע הנוסח המודפס שתי חלופות, "לאחר שקרא/ה אותה" ו"הקראתי לו/ה", ואיש לא סימן איזו מהן התקיימה; אין בו זכר למתורגמן ואין אינדיקציה שתוכנו הובא לידיעת המנוח בשפה שהבין.</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38.</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גוף הטופס כולו מודפס מראש, והמנוח לא הוסיף בו דבר מלבד חתימתו והתאריך. מסמך שהוחתם כך על אדם שאינו יודע קרוא וכתוב, בלא שהוכח כי הוסבר לו בשפתו, אין ליתן בו משקל, והנתבעת שומרת על זכותה להתנגד להגשתו ולעתור להוצאתו מן התיק.</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39.</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וסעיף 3 שבו מגלה את תכליתו: כי ההצהרה "לא תאפשר לקרובי לטעון כי גרו איתי בדירה... כדי להיחשב 'דיירים ממשיכים'". ברם, המעמד שבחוק קם לנתבעת מכוח דין, והיא לא היתה צד לאותו טופס.</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40.</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זכות סטטוטורית של מי שאינו חתום על הטופס אינה ניתנת לוויתור בידי החותם, ולו מטעמי תקנת הציבור שבסעיף 30 לחוק החוזים (חלק כללי), התשל"ג-1973.</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41.</w:t>
      </w:r>
      <w:r>
        <w:rPr>
          <w:rFonts w:ascii="David" w:cs="David" w:eastAsia="David" w:hAnsi="David"/>
          <w:sz w:val="24"/>
          <w:szCs w:val="24"/>
          <w:rtl/>
        </w:rPr>
        <w:tab/>
      </w:r>
      <w:r>
        <w:rPr>
          <w:rFonts w:ascii="David" w:cs="David" w:eastAsia="David" w:hAnsi="David"/>
          <w:b/>
          <w:bCs/>
          <w:i w:val="false"/>
          <w:iCs w:val="false"/>
          <w:sz w:val="24"/>
          <w:szCs w:val="24"/>
          <w:rtl/>
        </w:rPr>
        <w:t xml:space="preserve">חומר הרווחה.</w:t>
      </w:r>
      <w:r>
        <w:rPr>
          <w:rFonts w:ascii="David" w:cs="David" w:eastAsia="David" w:hAnsi="David"/>
          <w:b w:val="false"/>
          <w:bCs w:val="false"/>
          <w:i w:val="false"/>
          <w:iCs w:val="false"/>
          <w:sz w:val="24"/>
          <w:szCs w:val="24"/>
          <w:rtl/>
        </w:rPr>
        <w:t xml:space="preserve"> בחודש יולי 2026 פנה האגף לשירותים חברתיים בעיריית פתח תקווה במכתב שעניינו הנתבעת (נספח ה'), המוכרת באותו אגף כנתמכת (נספח ו').</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42.</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במכתב נמסר כי הנתבעת "היתה מוכרת ברווחה לאורך שנים", וכי היא "בת 42 רווקה ללא ילדים מתמודדת עם נכות נפשית ופיברומיאלגיה, אינה עובדת ומקבלת קיצבה 100% נכות מביטוח לאומי" (נספח ז').</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43.</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ובסיפת המכתב: </w:t>
      </w:r>
      <w:r>
        <w:rPr>
          <w:rFonts w:ascii="David" w:cs="David" w:eastAsia="David" w:hAnsi="David"/>
          <w:b/>
          <w:bCs/>
          <w:i w:val="false"/>
          <w:iCs w:val="false"/>
          <w:sz w:val="24"/>
          <w:szCs w:val="24"/>
          <w:rtl/>
        </w:rPr>
        <w:t xml:space="preserve">"נודה על כל התחשבות במצבה והימנעות מהוצאתה מהדירה בה מתגוררת מזה 30 שנה"</w:t>
      </w:r>
      <w:r>
        <w:rPr>
          <w:rFonts w:ascii="David" w:cs="David" w:eastAsia="David" w:hAnsi="David"/>
          <w:b w:val="false"/>
          <w:bCs w:val="false"/>
          <w:i w:val="false"/>
          <w:iCs w:val="false"/>
          <w:sz w:val="24"/>
          <w:szCs w:val="24"/>
          <w:rtl/>
        </w:rPr>
        <w:t xml:space="preserve">. וכבר בשנת 2013 פנתה הנתבעת בכתב אל משרד הבינוי והשיכון בבקשה לפתרון דיור, ותיארה כי אין לה קורת גג משלה.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44.</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הפנייה נמסרה באמצעות מרכז אלונים, גורם רווחה ושיקום, ואושרה בחותמתו ביום 28.6.2013 (נספח ד'). לחומר זה משקל ישיר לעניין הזכאות העצמאית לפי סעיף 3(ב) ולעניין ההשבה.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45.</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ואולם התובעת החליטה בלא שפנתה לגורמי הרווחה, בנספח 4 אין לחומר זה כל התייחסות, ועניינה של הנתבעת לא הובא בפני הוועדה לבחינת מקרים חריגים.</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46.</w:t>
      </w:r>
      <w:r>
        <w:rPr>
          <w:rFonts w:ascii="David" w:cs="David" w:eastAsia="David" w:hAnsi="David"/>
          <w:sz w:val="24"/>
          <w:szCs w:val="24"/>
          <w:rtl/>
        </w:rPr>
        <w:tab/>
      </w:r>
      <w:r>
        <w:rPr>
          <w:rFonts w:ascii="David" w:cs="David" w:eastAsia="David" w:hAnsi="David"/>
          <w:b/>
          <w:bCs/>
          <w:i w:val="false"/>
          <w:iCs w:val="false"/>
          <w:sz w:val="24"/>
          <w:szCs w:val="24"/>
          <w:rtl/>
        </w:rPr>
        <w:t xml:space="preserve">גובה החיוב.</w:t>
      </w:r>
      <w:r>
        <w:rPr>
          <w:rFonts w:ascii="David" w:cs="David" w:eastAsia="David" w:hAnsi="David"/>
          <w:b w:val="false"/>
          <w:bCs w:val="false"/>
          <w:i w:val="false"/>
          <w:iCs w:val="false"/>
          <w:sz w:val="24"/>
          <w:szCs w:val="24"/>
          <w:rtl/>
        </w:rPr>
        <w:t xml:space="preserve"> התובעת עותרת לסך 36,533.38 ₪, בחיוב חודשי של 2,948.85 ₪, בעוד שכר הדירה נטו שקבעה היא עצמה עמד על 221.19 ₪, ולא הוצגה חוות דעת לשווי.</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47.</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הכרטסת אינה ראיה אלא רישום פנימי; ואת הריבית גובה התובעת מכוח חוזה השכירות, שאת קיומו היא עצמה מכחישה.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48.</w:t>
      </w:r>
      <w:r>
        <w:rPr>
          <w:rFonts w:ascii="David" w:cs="David" w:eastAsia="David" w:hAnsi="David"/>
          <w:sz w:val="24"/>
          <w:szCs w:val="24"/>
          <w:rtl/>
        </w:rPr>
        <w:tab/>
      </w:r>
      <w:r>
        <w:rPr>
          <w:rFonts w:ascii="David" w:cs="David" w:eastAsia="David" w:hAnsi="David"/>
          <w:b/>
          <w:bCs/>
          <w:i w:val="false"/>
          <w:iCs w:val="false"/>
          <w:sz w:val="24"/>
          <w:szCs w:val="24"/>
          <w:rtl/>
        </w:rPr>
        <w:t xml:space="preserve">התייחסות לסעיפי כתב התביעה.</w:t>
      </w:r>
      <w:r>
        <w:rPr>
          <w:rFonts w:ascii="David" w:cs="David" w:eastAsia="David" w:hAnsi="David"/>
          <w:b w:val="false"/>
          <w:bCs w:val="false"/>
          <w:i w:val="false"/>
          <w:iCs w:val="false"/>
          <w:sz w:val="24"/>
          <w:szCs w:val="24"/>
          <w:rtl/>
        </w:rPr>
        <w:t xml:space="preserve"> הנטען בסעיפים 1, 5, 6, 7, 8, 13, 14 ו-17 אינו מוכחש ככל שהוא נוגע לזהות הצדדים והדירה, לסמכות, להשכרת הדירה למנוח ולמועד פטירתו; ומוכחשת כל מסקנה משפטית הנגזרת מהם.</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49.</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הנטען בסעיפים 2, 9, 10, 15 ו-16 מוכחש: הנתבעת לא פלשה ואינה מחזיקה שלא כדין, ולא נשלחו אליה התראות. הנטען בסעיפים 3, 4, 11, 18, 19, 21, 22 ו-23 מוכחש מן הטעמים המפורטים לעיל.</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50.</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אין הכחשה לעצם קיומו של המסמך שבנספח 4, ומוכחש כי מדובר בהחלטה שנתקבלה כדין. סעיפים 12 ו-20 אינם טענות שבעובדה הטעונות הכחשה; ואשר לסעיף 20, הדיור הציבורי אכן נועד למי שידה אינה משגת, ותכלית זו מכוונת אל הנתבעת.</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51.</w:t>
      </w:r>
      <w:r>
        <w:rPr>
          <w:rFonts w:ascii="David" w:cs="David" w:eastAsia="David" w:hAnsi="David"/>
          <w:sz w:val="24"/>
          <w:szCs w:val="24"/>
          <w:rtl/>
        </w:rPr>
        <w:tab/>
      </w:r>
      <w:r>
        <w:rPr>
          <w:rFonts w:ascii="David" w:cs="David" w:eastAsia="David" w:hAnsi="David"/>
          <w:b/>
          <w:bCs/>
          <w:i w:val="false"/>
          <w:iCs w:val="false"/>
          <w:sz w:val="24"/>
          <w:szCs w:val="24"/>
          <w:rtl/>
        </w:rPr>
        <w:t xml:space="preserve">סעד.</w:t>
      </w:r>
      <w:r>
        <w:rPr>
          <w:rFonts w:ascii="David" w:cs="David" w:eastAsia="David" w:hAnsi="David"/>
          <w:b w:val="false"/>
          <w:bCs w:val="false"/>
          <w:i w:val="false"/>
          <w:iCs w:val="false"/>
          <w:sz w:val="24"/>
          <w:szCs w:val="24"/>
          <w:rtl/>
        </w:rPr>
        <w:t xml:space="preserve"> לאור כל האמור מתבקש בית המשפט הנכבד לדחות את התביעה; לחלופין, למוחקה מחמת פיצול סעדים; ולחלופין, לקבוע כי לא קמה עילה לדמי שימוש ראויים כל עוד לא נמסרה הודעה לפי סעיף 3(א) ולא חלפו תשעה חודשים ממסירתה.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52.</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ולחלופי חלופין, להעמיד את החיוב על דמי השכירות המסובסדים בניכוי התשלומים ששולמו. כן מתבקש לחייב את התובעת בהוצאות.</w:t>
      </w:r>
    </w:p>
    <w:p>
      <w:pPr>
        <w:bidi/>
        <w:spacing w:after="120" w:before="0" w:line="360" w:lineRule="auto"/>
        <w:jc w:val="both"/>
      </w:pPr>
      <w:r>
        <w:rPr>
          <w:rFonts w:ascii="David" w:cs="David" w:eastAsia="David" w:hAnsi="David"/>
          <w:b/>
          <w:bCs/>
          <w:i w:val="false"/>
          <w:iCs w:val="false"/>
          <w:sz w:val="24"/>
          <w:szCs w:val="24"/>
          <w:rtl/>
        </w:rPr>
        <w:t xml:space="preserve">נספחים:</w:t>
      </w:r>
      <w:r>
        <w:rPr>
          <w:rFonts w:ascii="David" w:cs="David" w:eastAsia="David" w:hAnsi="David"/>
          <w:b w:val="false"/>
          <w:bCs w:val="false"/>
          <w:i w:val="false"/>
          <w:iCs w:val="false"/>
          <w:sz w:val="24"/>
          <w:szCs w:val="24"/>
          <w:rtl/>
        </w:rPr>
        <w:t xml:space="preserve"> א' קבלת עמידר; ב' שובר עמידר; ג' אישור בנק יהב; ד' מכתב הנתבעת למשרד השיכון, 2013; ה' מכתב האגף לשירותים חברתיים, יולי 2026; ו' אישור הכרה כנתמכת; ז' אישור המוסד לביטוח לאומי; ח' בקשת ההכרה כדיירת ממשיכה; ט' ייפוי כוח.</w:t>
      </w:r>
    </w:p>
    <w:p>
      <w:pPr>
        <w:bidi/>
        <w:spacing w:after="0" w:before="0" w:line="360" w:lineRule="auto"/>
        <w:jc w:val="both"/>
      </w:pPr>
    </w:p>
    <w:p>
      <w:pPr>
        <w:keepNext/>
        <w:bidi/>
        <w:spacing w:after="80" w:line="240" w:lineRule="auto"/>
        <w:jc w:val="center"/>
      </w:pPr>
      <w:r>
        <w:rPr>
          <w:rFonts w:ascii="David" w:cs="David" w:eastAsia="David" w:hAnsi="David"/>
          <w:b w:val="false"/>
          <w:bCs w:val="false"/>
          <w:i w:val="false"/>
          <w:iCs w:val="false"/>
          <w:sz w:val="24"/>
          <w:szCs w:val="24"/>
          <w:rtl/>
        </w:rPr>
        <w:t xml:space="preserve">_______________________</w:t>
      </w:r>
    </w:p>
    <w:p>
      <w:pPr>
        <w:bidi/>
        <w:spacing w:after="0" w:line="240" w:lineRule="auto"/>
        <w:jc w:val="center"/>
      </w:pPr>
      <w:r>
        <w:rPr>
          <w:rFonts w:ascii="David" w:cs="David" w:eastAsia="David" w:hAnsi="David"/>
          <w:b/>
          <w:bCs/>
          <w:i w:val="false"/>
          <w:iCs w:val="false"/>
          <w:sz w:val="24"/>
          <w:szCs w:val="24"/>
          <w:highlight w:val="yellow"/>
          <w:highlightCs w:val="yellow"/>
          <w:rtl/>
        </w:rPr>
        <w:t xml:space="preserve">[שם עורך/ת הדין]</w:t>
      </w:r>
      <w:r>
        <w:rPr>
          <w:rFonts w:ascii="David" w:cs="David" w:eastAsia="David" w:hAnsi="David"/>
          <w:b/>
          <w:bCs/>
          <w:i w:val="false"/>
          <w:iCs w:val="false"/>
          <w:sz w:val="24"/>
          <w:szCs w:val="24"/>
          <w:rtl/>
        </w:rPr>
        <w:t xml:space="preserve">, עו"ד, מ.ר. ________, ב"כ הנתבעת</w:t>
      </w:r>
    </w:p>
    <w:p>
      <w:pPr>
        <w:keepNext/>
        <w:keepLines/>
        <w:pageBreakBefore/>
        <w:bidi/>
        <w:spacing w:after="200" w:before="240" w:line="360" w:lineRule="auto"/>
        <w:jc w:val="center"/>
      </w:pPr>
      <w:r>
        <w:rPr>
          <w:rFonts w:ascii="David" w:cs="David" w:eastAsia="David" w:hAnsi="David"/>
          <w:b/>
          <w:bCs/>
          <w:i w:val="false"/>
          <w:iCs w:val="false"/>
          <w:sz w:val="32"/>
          <w:szCs w:val="32"/>
          <w:u w:val="single"/>
          <w:rtl/>
        </w:rPr>
        <w:t xml:space="preserve">תצהיר מטעם הנתבעת ורשימת מסמכים</w:t>
      </w:r>
    </w:p>
    <w:p>
      <w:pPr>
        <w:keepNext/>
        <w:bidi/>
        <w:spacing w:after="220" w:line="300" w:lineRule="auto"/>
        <w:jc w:val="center"/>
      </w:pPr>
      <w:r>
        <w:rPr>
          <w:rFonts w:ascii="David" w:cs="David" w:eastAsia="David" w:hAnsi="David"/>
          <w:b w:val="false"/>
          <w:bCs w:val="false"/>
          <w:i w:val="false"/>
          <w:iCs w:val="false"/>
          <w:sz w:val="22"/>
          <w:szCs w:val="22"/>
          <w:rtl/>
        </w:rPr>
        <w:t xml:space="preserve">בבית משפט השלום בפתח תקווה, ת"א ______ | עמידר, החברה הלאומית לשיכון בישראל בע"מ נגד טדילה וונדימאג'ן | תצהיר לפי טופס 5 לתקנות סדר הדין האזרחי, התשע"ט-2018.</w:t>
      </w:r>
    </w:p>
    <w:p>
      <w:pPr>
        <w:bidi/>
        <w:spacing w:after="200" w:before="0" w:line="360" w:lineRule="auto"/>
        <w:jc w:val="both"/>
      </w:pPr>
      <w:r>
        <w:rPr>
          <w:rFonts w:ascii="David" w:cs="David" w:eastAsia="David" w:hAnsi="David"/>
          <w:b w:val="false"/>
          <w:bCs w:val="false"/>
          <w:i w:val="false"/>
          <w:iCs w:val="false"/>
          <w:sz w:val="24"/>
          <w:szCs w:val="24"/>
          <w:rtl/>
        </w:rPr>
        <w:t xml:space="preserve">אני החתומה מטה, טדילה וונדימאג'ן, ת.ז. 303214373, מרח' צה"ל 72/6 פתח תקווה, לאחר שהוזהרתי כי עליי לומר את האמת וכי אהיה צפויה לעונשים הקבועים בחוק אם לא אעשה כן, מצהירה בזאת כדלקמן:</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הריני עושה תצהירי זה כתצהיר תומך לכתב ההגנה מטעמי, לפי תקנה 79(א)(1) לתקנות.</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העובדות שבכתב ההגנה, להבדיל מן הטענות המשפטיות ומן המסקנות שבו, נכונות וידועות לי מידיעתי האישית; והעובדות הנוגעות למסמכי התובעת ידועות לי מתוך המסמכים עצמם.</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גדלתי בדירה והתגוררתי בה מילדותי, לרבות ביום 1.8.2009 וברציפות עד לשנת 2019. באותה שנה, על רקע מתח שנתגלע ביני לבין אבי, שכרתי דירה בסמוך.</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4.</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לא חדלתי לבקרו, סייעתי לו והכנתי עבורו אוכל. בסמוך לחודש דצמבר 2023 עזבתי את הדירה השכורה ועברתי לשהות לצדו ולסעוד אותו עד לפטירתו, ומאז אני מתגוררת בדירה ברציפות.</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5.</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אבי המנוח, מר מנבר וונדימאג'ן ז"ל, ת.ז. 303214381, יליד 1943, עלה מאתיופיה בשנת 1991; הוא היה דובר אמהרית, לא ידע קרוא וכתוב ולא שלט בעברית.</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6.</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ביום 3.7.2024 ערכה נציגת התובעת ביקור בדירה, ואני היא הבת שנכחה בו; "עדן" הוא שמי העברי.</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7.</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אני נכה בשיעור 100% ואיני עובדת, מוכרת באגף לשירותים חברתיים בעיריית פתח תקווה וסמוכה על קצבת המוסד לביטוח לאומי; אין לי דירה בבעלותי ומעולם לא היתה לי.</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8.</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לא זומנתי לשימוע או לדיון בפני ועדה בעניין מעמדי, לא הומצאה לי החלטה, ולא נמסרה לי הודעה מאת משרד הבינוי והשיכון בדבר אי-זכאותי לדירה ציבורית.</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9.</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רשימת המסמכים הנוגעים לעניין הנדון, המצויים או שהיו מצויים ברשותי או בשליטתי ואשר איתרתי לאחר חקירה ודרישה, היא הנספחים א' עד ט' לכתב ההגנה. אין בידי תכתובת בכתב מול התובעת, שכן פניותיי אליה נעשו בעל פה במשרדיה.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10.</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זהו שמי, זו חתימתי ותוכן תצהירי אמת.</w:t>
      </w:r>
    </w:p>
    <w:p>
      <w:pPr>
        <w:bidi/>
        <w:spacing w:after="0" w:before="0" w:line="360" w:lineRule="auto"/>
        <w:jc w:val="both"/>
      </w:pPr>
    </w:p>
    <w:p>
      <w:pPr>
        <w:keepNext/>
        <w:bidi/>
        <w:spacing w:after="80" w:line="240" w:lineRule="auto"/>
        <w:jc w:val="center"/>
      </w:pPr>
      <w:r>
        <w:rPr>
          <w:rFonts w:ascii="David" w:cs="David" w:eastAsia="David" w:hAnsi="David"/>
          <w:b w:val="false"/>
          <w:bCs w:val="false"/>
          <w:i w:val="false"/>
          <w:iCs w:val="false"/>
          <w:sz w:val="24"/>
          <w:szCs w:val="24"/>
          <w:rtl/>
        </w:rPr>
        <w:t xml:space="preserve">_______________________</w:t>
      </w:r>
    </w:p>
    <w:p>
      <w:pPr>
        <w:bidi/>
        <w:spacing w:after="240" w:line="240" w:lineRule="auto"/>
        <w:jc w:val="center"/>
      </w:pPr>
      <w:r>
        <w:rPr>
          <w:rFonts w:ascii="David" w:cs="David" w:eastAsia="David" w:hAnsi="David"/>
          <w:b/>
          <w:bCs/>
          <w:i w:val="false"/>
          <w:iCs w:val="false"/>
          <w:sz w:val="24"/>
          <w:szCs w:val="24"/>
          <w:rtl/>
        </w:rPr>
        <w:t xml:space="preserve">טדילה וונדימאג'ן</w:t>
      </w:r>
    </w:p>
    <w:p>
      <w:pPr>
        <w:bidi/>
        <w:spacing w:after="140" w:before="240"/>
        <w:jc w:val="center"/>
      </w:pPr>
      <w:r>
        <w:rPr>
          <w:rFonts w:ascii="David" w:cs="David" w:eastAsia="David" w:hAnsi="David"/>
          <w:b/>
          <w:bCs/>
          <w:i w:val="false"/>
          <w:iCs w:val="false"/>
          <w:sz w:val="24"/>
          <w:szCs w:val="24"/>
          <w:u w:val="single"/>
          <w:rtl/>
        </w:rPr>
        <w:t xml:space="preserve">א י ש ו ר</w:t>
      </w:r>
    </w:p>
    <w:p>
      <w:pPr>
        <w:bidi/>
        <w:spacing w:after="120" w:before="0" w:line="360" w:lineRule="auto"/>
        <w:jc w:val="both"/>
      </w:pPr>
      <w:r>
        <w:rPr>
          <w:rFonts w:ascii="David" w:cs="David" w:eastAsia="David" w:hAnsi="David"/>
          <w:b w:val="false"/>
          <w:bCs w:val="false"/>
          <w:i w:val="false"/>
          <w:iCs w:val="false"/>
          <w:sz w:val="24"/>
          <w:szCs w:val="24"/>
          <w:rtl/>
        </w:rPr>
        <w:t xml:space="preserve">הריני לאשר כי ביום __________ הופיעה בפניי, במשרדי ברח' ____________________, גב' טדילה וונדימאג'ן, שזיהיתיה לפי ת.ז. 303214373, ולאחר שהזהרתיה כי עליה לומר את האמת וכי תהיה צפויה לעונשים הקבועים בחוק אם לא תעשה כן, אישרה את נכונות הצהרתה וחתמה עליה בפניי.</w:t>
      </w:r>
    </w:p>
    <w:p>
      <w:pPr>
        <w:bidi/>
        <w:spacing w:after="0" w:before="0" w:line="360" w:lineRule="auto"/>
        <w:jc w:val="both"/>
      </w:pPr>
    </w:p>
    <w:p>
      <w:pPr>
        <w:keepNext/>
        <w:bidi/>
        <w:spacing w:after="80" w:line="240" w:lineRule="auto"/>
        <w:jc w:val="center"/>
      </w:pPr>
      <w:r>
        <w:rPr>
          <w:rFonts w:ascii="David" w:cs="David" w:eastAsia="David" w:hAnsi="David"/>
          <w:b w:val="false"/>
          <w:bCs w:val="false"/>
          <w:i w:val="false"/>
          <w:iCs w:val="false"/>
          <w:sz w:val="24"/>
          <w:szCs w:val="24"/>
          <w:rtl/>
        </w:rPr>
        <w:t xml:space="preserve">_______________________</w:t>
      </w:r>
    </w:p>
    <w:p>
      <w:pPr>
        <w:bidi/>
        <w:spacing w:after="0" w:line="240" w:lineRule="auto"/>
        <w:jc w:val="center"/>
      </w:pPr>
      <w:r>
        <w:rPr>
          <w:rFonts w:ascii="David" w:cs="David" w:eastAsia="David" w:hAnsi="David"/>
          <w:b/>
          <w:bCs/>
          <w:i w:val="false"/>
          <w:iCs w:val="false"/>
          <w:sz w:val="24"/>
          <w:szCs w:val="24"/>
          <w:highlight w:val="yellow"/>
          <w:highlightCs w:val="yellow"/>
          <w:rtl/>
        </w:rPr>
        <w:t xml:space="preserve">[שם עורך/ת הדין]</w:t>
      </w:r>
      <w:r>
        <w:rPr>
          <w:rFonts w:ascii="David" w:cs="David" w:eastAsia="David" w:hAnsi="David"/>
          <w:b/>
          <w:bCs/>
          <w:i w:val="false"/>
          <w:iCs w:val="false"/>
          <w:sz w:val="24"/>
          <w:szCs w:val="24"/>
          <w:rtl/>
        </w:rPr>
        <w:t xml:space="preserve">, עו"ד, מ.ר. ________</w:t>
      </w:r>
    </w:p>
    <w:p>
      <w:pPr>
        <w:keepNext/>
        <w:keepLines/>
        <w:pageBreakBefore/>
        <w:bidi/>
        <w:spacing w:after="200" w:before="240" w:line="360" w:lineRule="auto"/>
        <w:jc w:val="center"/>
      </w:pPr>
      <w:r>
        <w:rPr>
          <w:rFonts w:ascii="David" w:cs="David" w:eastAsia="David" w:hAnsi="David"/>
          <w:b/>
          <w:bCs/>
          <w:i w:val="false"/>
          <w:iCs w:val="false"/>
          <w:sz w:val="32"/>
          <w:szCs w:val="32"/>
          <w:u w:val="single"/>
          <w:rtl/>
        </w:rPr>
        <w:t xml:space="preserve">הערות להשלמה - למחיקה לפני ההגשה</w:t>
      </w:r>
    </w:p>
    <w:p>
      <w:pPr>
        <w:bidi/>
        <w:spacing w:after="200" w:before="0" w:line="360" w:lineRule="auto"/>
        <w:jc w:val="both"/>
      </w:pPr>
      <w:r>
        <w:rPr>
          <w:rFonts w:ascii="David" w:cs="David" w:eastAsia="David" w:hAnsi="David"/>
          <w:b w:val="false"/>
          <w:bCs w:val="false"/>
          <w:i w:val="false"/>
          <w:iCs w:val="false"/>
          <w:sz w:val="24"/>
          <w:szCs w:val="24"/>
          <w:rtl/>
        </w:rPr>
        <w:t xml:space="preserve">דף זה אינו חלק מכתב ההגנה. יש למחוק אותו, ואת ההערות המודגשות בגוף המסמך, לפני ההגשה.</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w:t>
      </w:r>
      <w:r>
        <w:rPr>
          <w:rFonts w:ascii="David" w:cs="David" w:eastAsia="David" w:hAnsi="David"/>
          <w:sz w:val="24"/>
          <w:szCs w:val="24"/>
          <w:rtl/>
        </w:rPr>
        <w:tab/>
      </w:r>
      <w:r>
        <w:rPr>
          <w:rFonts w:ascii="David" w:cs="David" w:eastAsia="David" w:hAnsi="David"/>
          <w:b/>
          <w:bCs/>
          <w:i w:val="false"/>
          <w:iCs w:val="false"/>
          <w:sz w:val="24"/>
          <w:szCs w:val="24"/>
          <w:rtl/>
        </w:rPr>
        <w:t xml:space="preserve">התאמה לכתב ההגנה בתביעת סילוק היד.</w:t>
      </w:r>
      <w:r>
        <w:rPr>
          <w:rFonts w:ascii="David" w:cs="David" w:eastAsia="David" w:hAnsi="David"/>
          <w:b w:val="false"/>
          <w:bCs w:val="false"/>
          <w:i w:val="false"/>
          <w:iCs w:val="false"/>
          <w:sz w:val="24"/>
          <w:szCs w:val="24"/>
          <w:rtl/>
        </w:rPr>
        <w:t xml:space="preserve"> הגרסה העובדתית שנקבעה - מגורים בדירה מילדות, לרבות ביום 1.8.2009 וברציפות עד שנת 2019; שכירת דירה בסמוך באותה שנה על רקע מתח עם האב, בלא נטישתו; שיבה אל הדירה בסמוך לדצמבר 2023 לשם סיעודו; ומגורים רצופים מאז - שולבה בחלק השני ובחלק השלישי לכתב הגנה זה ובתצהיר. יש לוודא שכתב ההגנה בת"א 12718-06-26 מוסר את אותה גרסה בדיוק, ובפרט את תקופת 2009 עד 2019 ואת הטעם למעבר, שכן הדיונים אוחדו.</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2.</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מספר התיק בכותרת; שם עורך הדין, מספר רישיון, מען ופרטי התקשרות.</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3.</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לצרף את מכתב האגף לשירותים חברתיים בעיריית פתח תקווה (נספח ה') ולאמת מול המקור את הציטוטים שבכתב ההגנה. המכתב אינו נושא שם עובד ותפקיד ואינו נושא תאריך מדויק, ולכן נרשם בגוף כתב ההגנה לפי החודש בלבד. כן לצרף את אישור ההכרה כנתמכת (נספח ו') ואת אישור המוסד לביטוח לאומי בדבר נכות בשיעור 100% (נספח ז').</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4.</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המסמך המרכזי של התובעת הוא התצהיר המודפס מיום 10.11.2021 (עמ' 35 לכתב התביעה). לחיזוק הטענה נגדו נדרש: ראיה לכך שהמנוח לא ידע קרוא וכתוב ולא שלט בעברית (מסמכי עלייה וקליטה, רישומי אולפן, מסמכים רפואיים או סיעודיים, תצהירי בני משפחה ושכנים); ביסוס לטענה שגב' נטלי לוגסי אינה דוברת אמהרית, שאפשר להוכיחה גם בחקירתה; ושקילת בקשה נפרדת להוצאת המסמך מן התיק או להתנגדות להגשתו בפתח שמיעת הראיות.</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5.</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ראיות תומכות בתקופת המגורים, לאיסוף ולצירוף: מרשם האוכלוסין ותמצית רישום לשנים 2009 עד 2019, חשבונות ודברי דואר שנשלחו לכתובת הדירה באותן שנים, חוזה השכירות של הדירה שנשכרה בשנת 2019 ומועד סיומו, מסמכים רפואיים מתקופת מחלת האב, ותצהירי שכנים מאותו בניין המכירים את הנתבעת ואת המנוח שנים רבות.</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6.</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מכתב הנתבעת משנת 2013 (נספח ד'): כתב היד אינו קריא במלואו, והתיאור שבו נוגע גם לבני משפחה נוספים. יש לקרוא אותו עם הלקוחה ולוודא שהתיאור שבכתב ההגנה תואם את תוכנו במדויק, ובפרט שאינו סותר את האמור במכתב הרווחה מיולי 2026.</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7.</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זכאותה העצמאית של הנתבעת לדירה ציבורית לפי כללי משרד הבינוי והשיכון טרם נבדקה. יש לבדקה מול המשרד, ובהתאם לתוצאה לחזק את הטענה החלופית לפי סעיף 3(ב) לחוק.</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8.</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לאמת לפני ההגשה את נוסחם המדויק של סעיף 3 לחוק ושל הוראת המעבר בחוק ההתייעלות הכלכלית, התשס"ט-2009, ובפרט אם ארבע שנות המגורים הרצופות נדרשות עד למועד הפטירה או בתוך התקופה שמיום 1.8.2009; כן לאמת את סימון סעיף הקטן שבסעיף 2 לחוזה שעניינו הודעה בכתב שישים יום מראש.</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9.</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המועד האחרון להגשה נרשם לפי הנתון שנמסר, 4.9.2026. יש לאמת את החישוב מול תקנה 80(א) (45 ימים מן ההמצאה ביום 21.6.2026) ומול תקנה 179(ב) בעניין פגרת בתי המשפט.</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10.</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צירוף ייפוי כוח (נספח ט') ובקשת ההכרה כדיירת ממשיכה (נספח ח'). אם הבקשה אינה מצויה בידי הנתבעת, יש לפרט בתצהיר את הנסיבות (תקנה 79(א)(2) סיפא).</w:t>
      </w:r>
    </w:p>
    <w:p>
      <w:pPr>
        <w:tabs>
          <w:tab w:val="start" w:pos="480"/>
        </w:tabs>
        <w:bidi/>
        <w:spacing w:after="45" w:line="360" w:lineRule="auto"/>
        <w:ind w:start="480" w:hanging="480"/>
        <w:jc w:val="both"/>
      </w:pPr>
      <w:r>
        <w:rPr>
          <w:rFonts w:ascii="David" w:cs="David" w:eastAsia="David" w:hAnsi="David"/>
          <w:b w:val="false"/>
          <w:bCs w:val="false"/>
          <w:i w:val="false"/>
          <w:iCs w:val="false"/>
          <w:sz w:val="24"/>
          <w:szCs w:val="24"/>
          <w:rtl/>
        </w:rPr>
        <w:t xml:space="preserve">11.</w:t>
      </w:r>
      <w:r>
        <w:rPr>
          <w:rFonts w:ascii="David" w:cs="David" w:eastAsia="David" w:hAnsi="David"/>
          <w:sz w:val="24"/>
          <w:szCs w:val="24"/>
          <w:rtl/>
        </w:rPr>
        <w:tab/>
      </w:r>
      <w:r>
        <w:rPr>
          <w:rFonts w:ascii="David" w:cs="David" w:eastAsia="David" w:hAnsi="David"/>
          <w:b w:val="false"/>
          <w:bCs w:val="false"/>
          <w:i w:val="false"/>
          <w:iCs w:val="false"/>
          <w:sz w:val="24"/>
          <w:szCs w:val="24"/>
          <w:rtl/>
        </w:rPr>
        <w:t xml:space="preserve">הוחלט שלא להגיש תביעה שכנגד להשבת הכספים שנגבו. השבתם נתבעת בדרך של קיזוז וניכוי בסעיף הסעד.</w:t>
      </w:r>
    </w:p>
    <w:sectPr>
      <w:footerReference w:type="default" r:id="rId7"/>
      <w:pgSz w:w="11906" w:h="16838" w:orient="portrait"/>
      <w:pgMar w:top="850" w:right="1417" w:bottom="646" w:left="1417" w:header="340" w:footer="340" w:gutter="0"/>
      <w:bidi/>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0"/>
        <w:szCs w:val="20"/>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bidi/>
        <w:ind w:start="720" w:hanging="360"/>
      </w:pPr>
    </w:lvl>
    <w:lvl w:ilvl="1" w15:tentative="1">
      <w:start w:val="1"/>
      <w:numFmt w:val="bullet"/>
      <w:lvlText w:val="○"/>
      <w:lvlJc w:val="left"/>
      <w:pPr>
        <w:bidi/>
        <w:ind w:start="1440" w:hanging="360"/>
      </w:pPr>
    </w:lvl>
    <w:lvl w:ilvl="2" w15:tentative="1">
      <w:start w:val="1"/>
      <w:numFmt w:val="bullet"/>
      <w:lvlText w:val="■"/>
      <w:lvlJc w:val="left"/>
      <w:pPr>
        <w:bidi/>
        <w:ind w:start="2160" w:hanging="360"/>
      </w:pPr>
    </w:lvl>
    <w:lvl w:ilvl="3" w15:tentative="1">
      <w:start w:val="1"/>
      <w:numFmt w:val="bullet"/>
      <w:lvlText w:val="●"/>
      <w:lvlJc w:val="left"/>
      <w:pPr>
        <w:bidi/>
        <w:ind w:start="2880" w:hanging="360"/>
      </w:pPr>
    </w:lvl>
    <w:lvl w:ilvl="4" w15:tentative="1">
      <w:start w:val="1"/>
      <w:numFmt w:val="bullet"/>
      <w:lvlText w:val="○"/>
      <w:lvlJc w:val="left"/>
      <w:pPr>
        <w:bidi/>
        <w:ind w:start="3600" w:hanging="360"/>
      </w:pPr>
    </w:lvl>
    <w:lvl w:ilvl="5" w15:tentative="1">
      <w:start w:val="1"/>
      <w:numFmt w:val="bullet"/>
      <w:lvlText w:val="■"/>
      <w:lvlJc w:val="left"/>
      <w:pPr>
        <w:bidi/>
        <w:ind w:start="4320" w:hanging="360"/>
      </w:pPr>
    </w:lvl>
    <w:lvl w:ilvl="6" w15:tentative="1">
      <w:start w:val="1"/>
      <w:numFmt w:val="bullet"/>
      <w:lvlText w:val="●"/>
      <w:lvlJc w:val="left"/>
      <w:pPr>
        <w:bidi/>
        <w:ind w:start="5040" w:hanging="360"/>
      </w:pPr>
    </w:lvl>
    <w:lvl w:ilvl="7" w15:tentative="1">
      <w:start w:val="1"/>
      <w:numFmt w:val="bullet"/>
      <w:lvlText w:val="●"/>
      <w:lvlJc w:val="left"/>
      <w:pPr>
        <w:bidi/>
        <w:ind w:start="5760" w:hanging="360"/>
      </w:pPr>
    </w:lvl>
    <w:lvl w:ilvl="8" w15:tentative="1">
      <w:start w:val="1"/>
      <w:numFmt w:val="bullet"/>
      <w:lvlText w:val="●"/>
      <w:lvlJc w:val="left"/>
      <w:pPr>
        <w:bidi/>
        <w:ind w:star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2026-09-03T07:44:01.697Z</dcterms:created>
  <dcterms:modified xsi:type="dcterms:W3CDTF">2026-09-03T07:44:01.697Z</dcterms:modified>
</cp:coreProperties>
</file>

<file path=docProps/custom.xml><?xml version="1.0" encoding="utf-8"?>
<Properties xmlns="http://schemas.openxmlformats.org/officeDocument/2006/custom-properties" xmlns:vt="http://schemas.openxmlformats.org/officeDocument/2006/docPropsVTypes"/>
</file>