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Rule="auto" w:line="240" w:after="40" w:before="0"/>
        <w:jc w:val="center"/>
      </w:pPr>
      <w:r>
        <w:rPr>
          <w:rFonts w:ascii="David" w:hAnsi="David" w:cs="David" w:eastAsia="David" w:hint="cs"/>
          <w:b/>
          <w:bCs w:val="1"/>
          <w:sz w:val="28"/>
          <w:szCs w:val="28"/>
          <w:u w:val="single"/>
          <w:rtl w:val="1"/>
          <w:lang w:bidi="he-IL"/>
        </w:rPr>
        <w:t>בית משפט השלום בפתח תקווה</w:t>
      </w:r>
    </w:p>
    <w:p>
      <w:pPr>
        <w:bidi w:val="1"/>
        <w:spacing w:lineRule="auto" w:line="240" w:after="160" w:before="0"/>
        <w:jc w:val="center"/>
      </w:pPr>
      <w:r>
        <w:rPr>
          <w:rFonts w:ascii="David" w:hAnsi="David" w:cs="David" w:eastAsia="David" w:hint="cs"/>
          <w:b w:val="0"/>
          <w:sz w:val="24"/>
          <w:szCs w:val="24"/>
          <w:u w:val="none"/>
          <w:rtl w:val="1"/>
          <w:lang w:bidi="he-IL"/>
        </w:rPr>
        <w:t>מחוז מרכז        ת"א ______________</w:t>
      </w:r>
    </w:p>
    <w:p>
      <w:pPr>
        <w:bidi w:val="1"/>
        <w:spacing w:lineRule="auto" w:line="240" w:after="40" w:before="0"/>
        <w:jc w:val="both"/>
      </w:pPr>
    </w:p>
    <w:p>
      <w:pPr>
        <w:bidi w:val="1"/>
        <w:spacing w:lineRule="auto" w:line="240" w:after="80" w:before="0"/>
        <w:jc w:val="left"/>
      </w:pPr>
      <w:r>
        <w:rPr>
          <w:rFonts w:ascii="David" w:hAnsi="David" w:cs="David" w:eastAsia="David" w:hint="cs"/>
          <w:b/>
          <w:bCs w:val="1"/>
          <w:sz w:val="24"/>
          <w:szCs w:val="24"/>
          <w:u w:val="single"/>
          <w:rtl w:val="1"/>
          <w:lang w:bidi="he-IL"/>
        </w:rPr>
        <w:t>בעניין:</w:t>
      </w:r>
    </w:p>
    <w:p>
      <w:pPr>
        <w:bidi w:val="1"/>
        <w:spacing w:lineRule="auto" w:line="240" w:after="0" w:before="0"/>
        <w:ind w:left="850"/>
        <w:jc w:val="left"/>
      </w:pPr>
      <w:r>
        <w:rPr>
          <w:rFonts w:ascii="David" w:hAnsi="David" w:cs="David" w:eastAsia="David" w:hint="cs"/>
          <w:b/>
          <w:bCs w:val="1"/>
          <w:sz w:val="24"/>
          <w:szCs w:val="24"/>
          <w:u w:val="none"/>
          <w:rtl w:val="1"/>
          <w:lang w:bidi="he-IL"/>
        </w:rPr>
        <w:t>עמידר החברה הלאומית לשיכון בישראל בע"מ, ח.פ. 520017393</w:t>
      </w:r>
    </w:p>
    <w:p>
      <w:pPr>
        <w:bidi w:val="1"/>
        <w:spacing w:lineRule="auto" w:line="240" w:after="0" w:before="0"/>
        <w:ind w:left="850"/>
        <w:jc w:val="left"/>
      </w:pPr>
      <w:r>
        <w:rPr>
          <w:rFonts w:ascii="David" w:hAnsi="David" w:cs="David" w:eastAsia="David" w:hint="cs"/>
          <w:b w:val="0"/>
          <w:sz w:val="24"/>
          <w:szCs w:val="24"/>
          <w:u w:val="none"/>
          <w:rtl w:val="1"/>
          <w:lang w:bidi="he-IL"/>
        </w:rPr>
        <w:t>מרח' הרוקמים 26, חולון; טלפון: 6266*</w:t>
      </w:r>
    </w:p>
    <w:p>
      <w:pPr>
        <w:bidi w:val="1"/>
        <w:spacing w:lineRule="auto" w:line="240" w:after="0" w:before="0"/>
        <w:ind w:left="850"/>
        <w:jc w:val="left"/>
      </w:pPr>
      <w:r>
        <w:rPr>
          <w:rFonts w:ascii="David" w:hAnsi="David" w:cs="David" w:eastAsia="David" w:hint="cs"/>
          <w:b w:val="0"/>
          <w:sz w:val="24"/>
          <w:szCs w:val="24"/>
          <w:u w:val="none"/>
          <w:rtl w:val="1"/>
          <w:lang w:bidi="he-IL"/>
        </w:rPr>
        <w:t>ע"י ב"כ עוה"ד ליאור סיגון (מ.ר. 57413) ו/או ג'וזף דוד ו/או מושיק הלוי</w:t>
      </w:r>
    </w:p>
    <w:p>
      <w:pPr>
        <w:bidi w:val="1"/>
        <w:spacing w:lineRule="auto" w:line="240" w:after="0" w:before="0"/>
        <w:ind w:left="850"/>
        <w:jc w:val="left"/>
      </w:pPr>
      <w:r>
        <w:rPr>
          <w:rFonts w:ascii="David" w:hAnsi="David" w:cs="David" w:eastAsia="David" w:hint="cs"/>
          <w:b w:val="0"/>
          <w:sz w:val="24"/>
          <w:szCs w:val="24"/>
          <w:u w:val="none"/>
          <w:rtl w:val="1"/>
          <w:lang w:bidi="he-IL"/>
        </w:rPr>
        <w:t>ו/או ענבר גליכמן קונסטנטינובסקי ו/או דולב דוד ו/או ולדי ירמולניק ואח'</w:t>
      </w:r>
    </w:p>
    <w:p>
      <w:pPr>
        <w:bidi w:val="1"/>
        <w:spacing w:lineRule="auto" w:line="240" w:after="0" w:before="0"/>
        <w:ind w:left="850"/>
        <w:jc w:val="left"/>
      </w:pPr>
      <w:r>
        <w:rPr>
          <w:rFonts w:ascii="David" w:hAnsi="David" w:cs="David" w:eastAsia="David" w:hint="cs"/>
          <w:b w:val="0"/>
          <w:sz w:val="24"/>
          <w:szCs w:val="24"/>
          <w:u w:val="none"/>
          <w:rtl w:val="1"/>
          <w:lang w:bidi="he-IL"/>
        </w:rPr>
        <w:t>מרח' מצדה 9, מגדל ב.ס.ר 3, קומה 6</w:t>
      </w:r>
    </w:p>
    <w:p>
      <w:pPr>
        <w:bidi w:val="1"/>
        <w:spacing w:lineRule="auto" w:line="240" w:after="0" w:before="0"/>
        <w:ind w:left="850"/>
        <w:jc w:val="left"/>
      </w:pPr>
      <w:r>
        <w:rPr>
          <w:rFonts w:ascii="David" w:hAnsi="David" w:cs="David" w:eastAsia="David" w:hint="cs"/>
          <w:b w:val="0"/>
          <w:sz w:val="24"/>
          <w:szCs w:val="24"/>
          <w:u w:val="none"/>
          <w:rtl w:val="1"/>
          <w:lang w:bidi="he-IL"/>
        </w:rPr>
        <w:t>טל': 03-9451451; פקס: 03-9457457; דוא"ל: joseph@adv-david.co.il</w:t>
      </w:r>
    </w:p>
    <w:p>
      <w:pPr>
        <w:bidi w:val="1"/>
        <w:spacing w:lineRule="auto" w:line="240" w:after="80" w:before="0"/>
        <w:jc w:val="right"/>
      </w:pPr>
      <w:r>
        <w:rPr>
          <w:rFonts w:ascii="David" w:hAnsi="David" w:cs="David" w:eastAsia="David" w:hint="cs"/>
          <w:b/>
          <w:bCs w:val="1"/>
          <w:sz w:val="24"/>
          <w:szCs w:val="24"/>
          <w:u w:val="single"/>
          <w:rtl w:val="1"/>
          <w:lang w:bidi="he-IL"/>
        </w:rPr>
        <w:t>התובעת;</w:t>
      </w:r>
    </w:p>
    <w:p>
      <w:pPr>
        <w:bidi w:val="1"/>
        <w:spacing w:lineRule="auto" w:line="240" w:after="40" w:before="0"/>
        <w:jc w:val="both"/>
      </w:pPr>
    </w:p>
    <w:p>
      <w:pPr>
        <w:bidi w:val="1"/>
        <w:spacing w:lineRule="auto" w:line="240" w:after="80" w:before="0"/>
        <w:jc w:val="center"/>
      </w:pPr>
      <w:r>
        <w:rPr>
          <w:rFonts w:ascii="David" w:hAnsi="David" w:cs="David" w:eastAsia="David" w:hint="cs"/>
          <w:b/>
          <w:bCs w:val="1"/>
          <w:sz w:val="24"/>
          <w:szCs w:val="24"/>
          <w:u w:val="none"/>
          <w:rtl w:val="1"/>
          <w:lang w:bidi="he-IL"/>
        </w:rPr>
        <w:t>- נ ג ד -</w:t>
      </w:r>
    </w:p>
    <w:p>
      <w:pPr>
        <w:bidi w:val="1"/>
        <w:spacing w:lineRule="auto" w:line="240" w:after="40" w:before="0"/>
        <w:jc w:val="both"/>
      </w:pPr>
    </w:p>
    <w:p>
      <w:pPr>
        <w:bidi w:val="1"/>
        <w:spacing w:lineRule="auto" w:line="240" w:after="0" w:before="0"/>
        <w:ind w:left="850"/>
        <w:jc w:val="left"/>
      </w:pPr>
      <w:r>
        <w:rPr>
          <w:rFonts w:ascii="David" w:hAnsi="David" w:cs="David" w:eastAsia="David" w:hint="cs"/>
          <w:b/>
          <w:bCs w:val="1"/>
          <w:sz w:val="24"/>
          <w:szCs w:val="24"/>
          <w:u w:val="none"/>
          <w:rtl w:val="1"/>
          <w:lang w:bidi="he-IL"/>
        </w:rPr>
        <w:t>טדילה וונדימאג'ן, ת.⁠ז.⁠ 303214373</w:t>
      </w:r>
    </w:p>
    <w:p>
      <w:pPr>
        <w:bidi w:val="1"/>
        <w:spacing w:lineRule="auto" w:line="240" w:after="0" w:before="0"/>
        <w:ind w:left="850"/>
        <w:jc w:val="left"/>
      </w:pPr>
      <w:r>
        <w:rPr>
          <w:rFonts w:ascii="David" w:hAnsi="David" w:cs="David" w:eastAsia="David" w:hint="cs"/>
          <w:b w:val="0"/>
          <w:sz w:val="24"/>
          <w:szCs w:val="24"/>
          <w:u w:val="none"/>
          <w:rtl w:val="1"/>
          <w:lang w:bidi="he-IL"/>
        </w:rPr>
        <w:t>מרח' צה"ל 72/6, פתח תקווה; טלפון: 050-2213355</w:t>
      </w:r>
    </w:p>
    <w:p>
      <w:pPr>
        <w:bidi w:val="1"/>
        <w:spacing w:lineRule="auto" w:line="240" w:after="0" w:before="0"/>
        <w:ind w:left="850"/>
        <w:jc w:val="left"/>
      </w:pPr>
      <w:r>
        <w:rPr>
          <w:rFonts w:ascii="David" w:hAnsi="David" w:cs="David" w:eastAsia="David" w:hint="cs"/>
          <w:b w:val="0"/>
          <w:sz w:val="24"/>
          <w:szCs w:val="24"/>
          <w:u w:val="none"/>
          <w:rtl w:val="1"/>
          <w:lang w:bidi="he-IL"/>
        </w:rPr>
        <w:t>ע"י ב"כ עו"ד ______________, מ.ר. __________</w:t>
      </w:r>
    </w:p>
    <w:p>
      <w:pPr>
        <w:bidi w:val="1"/>
        <w:spacing w:lineRule="auto" w:line="240" w:after="0" w:before="0"/>
        <w:ind w:left="850"/>
        <w:jc w:val="left"/>
      </w:pPr>
      <w:r>
        <w:rPr>
          <w:rFonts w:ascii="David" w:hAnsi="David" w:cs="David" w:eastAsia="David" w:hint="cs"/>
          <w:b w:val="0"/>
          <w:sz w:val="24"/>
          <w:szCs w:val="24"/>
          <w:u w:val="none"/>
          <w:rtl w:val="1"/>
          <w:lang w:bidi="he-IL"/>
        </w:rPr>
        <w:t>מרח' ______________; טל': __________; פקס: __________</w:t>
      </w:r>
    </w:p>
    <w:p>
      <w:pPr>
        <w:bidi w:val="1"/>
        <w:spacing w:lineRule="auto" w:line="240" w:after="0" w:before="0"/>
        <w:ind w:left="850"/>
        <w:jc w:val="left"/>
      </w:pPr>
      <w:r>
        <w:rPr>
          <w:rFonts w:ascii="David" w:hAnsi="David" w:cs="David" w:eastAsia="David" w:hint="cs"/>
          <w:b w:val="0"/>
          <w:sz w:val="24"/>
          <w:szCs w:val="24"/>
          <w:u w:val="none"/>
          <w:rtl w:val="1"/>
          <w:lang w:bidi="he-IL"/>
        </w:rPr>
        <w:t>דוא"ל: ______________________</w:t>
      </w:r>
    </w:p>
    <w:p>
      <w:pPr>
        <w:bidi w:val="1"/>
        <w:spacing w:lineRule="auto" w:line="240" w:after="80" w:before="0"/>
        <w:jc w:val="right"/>
      </w:pPr>
      <w:r>
        <w:rPr>
          <w:rFonts w:ascii="David" w:hAnsi="David" w:cs="David" w:eastAsia="David" w:hint="cs"/>
          <w:b/>
          <w:bCs w:val="1"/>
          <w:sz w:val="24"/>
          <w:szCs w:val="24"/>
          <w:u w:val="single"/>
          <w:rtl w:val="1"/>
          <w:lang w:bidi="he-IL"/>
        </w:rPr>
        <w:t>הנתבעת;</w:t>
      </w:r>
    </w:p>
    <w:p>
      <w:pPr>
        <w:bidi w:val="1"/>
        <w:spacing w:lineRule="auto" w:line="240" w:after="40" w:before="0"/>
        <w:jc w:val="both"/>
      </w:pPr>
    </w:p>
    <w:p>
      <w:pPr>
        <w:bidi w:val="1"/>
        <w:spacing w:lineRule="auto" w:line="240" w:after="80" w:before="0"/>
        <w:jc w:val="left"/>
      </w:pPr>
      <w:r>
        <w:rPr>
          <w:rFonts w:ascii="David" w:hAnsi="David" w:cs="David" w:eastAsia="David" w:hint="cs"/>
          <w:b w:val="0"/>
          <w:sz w:val="24"/>
          <w:szCs w:val="24"/>
          <w:u w:val="none"/>
          <w:rtl w:val="1"/>
          <w:lang w:bidi="he-IL"/>
        </w:rPr>
        <w:t>דבר קיומו של הליך נוסף בבית משפט או בבית דין בקשר למסכת עובדתית דומה שהנתבעת צד לו או היתה צד לו: אין.</w:t>
      </w:r>
    </w:p>
    <w:p>
      <w:pPr>
        <w:bidi w:val="1"/>
        <w:spacing w:lineRule="auto" w:line="240" w:after="80" w:before="0"/>
        <w:jc w:val="left"/>
      </w:pPr>
      <w:r>
        <w:rPr>
          <w:rFonts w:ascii="David" w:hAnsi="David" w:cs="David" w:eastAsia="David" w:hint="cs"/>
          <w:b w:val="0"/>
          <w:sz w:val="24"/>
          <w:szCs w:val="24"/>
          <w:u w:val="none"/>
          <w:rtl w:val="1"/>
          <w:lang w:bidi="he-IL"/>
        </w:rPr>
        <w:t>מועד המצאת כתב התביעה לנתבעת: יום ____________.</w:t>
      </w:r>
    </w:p>
    <w:p>
      <w:pPr>
        <w:bidi w:val="1"/>
        <w:spacing w:lineRule="auto" w:line="240" w:after="80" w:before="0"/>
        <w:jc w:val="left"/>
      </w:pPr>
      <w:r>
        <w:rPr>
          <w:rFonts w:ascii="David" w:hAnsi="David" w:cs="David" w:eastAsia="David" w:hint="cs"/>
          <w:b w:val="0"/>
          <w:sz w:val="24"/>
          <w:szCs w:val="24"/>
          <w:u w:val="none"/>
          <w:rtl w:val="1"/>
          <w:lang w:bidi="he-IL"/>
        </w:rPr>
        <w:t>המועד האחרון להגשת כתב ההגנה לפי תקנה 30 לתקנות סדר הדין האזרחי, התשע"ט-⁠2018: יום ____________.</w:t>
      </w:r>
    </w:p>
    <w:p>
      <w:pPr>
        <w:bidi w:val="1"/>
        <w:spacing w:lineRule="auto" w:line="240" w:after="40" w:before="0"/>
        <w:jc w:val="both"/>
      </w:pPr>
    </w:p>
    <w:p>
      <w:pPr>
        <w:bidi w:val="1"/>
        <w:spacing w:lineRule="auto" w:line="240" w:after="200" w:before="200"/>
        <w:jc w:val="center"/>
      </w:pPr>
      <w:r>
        <w:rPr>
          <w:rFonts w:ascii="David" w:hAnsi="David" w:cs="David" w:eastAsia="David" w:hint="cs"/>
          <w:b/>
          <w:bCs w:val="1"/>
          <w:sz w:val="32"/>
          <w:szCs w:val="32"/>
          <w:u w:val="single"/>
          <w:rtl w:val="1"/>
          <w:lang w:bidi="he-IL"/>
        </w:rPr>
        <w:t>כתב הגנה</w:t>
      </w:r>
    </w:p>
    <w:p>
      <w:pPr>
        <w:bidi w:val="1"/>
        <w:spacing w:lineRule="auto" w:line="240" w:after="40" w:before="0"/>
        <w:jc w:val="both"/>
      </w:pPr>
    </w:p>
    <w:p>
      <w:pPr>
        <w:bidi w:val="1"/>
        <w:spacing w:lineRule="auto" w:line="360" w:after="120" w:before="0"/>
        <w:jc w:val="both"/>
      </w:pPr>
      <w:r>
        <w:rPr>
          <w:rFonts w:ascii="David" w:hAnsi="David" w:cs="David" w:eastAsia="David" w:hint="cs"/>
          <w:b w:val="0"/>
          <w:sz w:val="24"/>
          <w:szCs w:val="24"/>
          <w:u w:val="none"/>
          <w:rtl w:val="1"/>
          <w:lang w:bidi="he-IL"/>
        </w:rPr>
        <w:t>הנתבעת, טדילה וונדימאג'ן, מתכבדת להגיש כתב הגנה מטעמה. הנתבעת תיוצג על ידי בא כוחה שבכותרת, וכתובתה להמצאת כתבי בי-דין היא כמצוין בכותרת. כל הטענות הנטענות בכתב התביעה מוכחשות, למעט אם צוין במפורש אחרת.</w:t>
      </w:r>
    </w:p>
    <w:p>
      <w:pPr>
        <w:bidi w:val="1"/>
        <w:spacing w:lineRule="auto" w:line="360" w:after="120" w:before="0"/>
        <w:jc w:val="both"/>
      </w:pPr>
      <w:r>
        <w:rPr>
          <w:rFonts w:ascii="David" w:hAnsi="David" w:cs="David" w:eastAsia="David" w:hint="cs"/>
          <w:b w:val="0"/>
          <w:sz w:val="24"/>
          <w:szCs w:val="24"/>
          <w:u w:val="none"/>
          <w:rtl w:val="1"/>
          <w:lang w:bidi="he-IL"/>
        </w:rPr>
        <w:t>בכתב הגנה זה: הדירה ברח' צה"ל 72, דירה 6, פתח תקווה – "הדירה"; מר מנבר וונדימאג'ן ז"ל, ת.⁠ז.⁠ 303214381, אביה של הנתבעת ובעל חוזה השכירות – "המנוח"; טופסי "בדיקת אכלוס וגבייה" ו"סיכום ביקור" שצירפה התובעת כנספח 2 – "טופסי הביקור"; והמסמך שצורף כנספח 4 – "ועדת הלגליזציה".</w:t>
      </w:r>
    </w:p>
    <w:p>
      <w:pPr>
        <w:keepNext w:val="1"/>
        <w:keepLines w:val="1"/>
        <w:pageBreakBefore/>
        <w:bidi w:val="1"/>
        <w:spacing w:lineRule="auto" w:line="360" w:after="160" w:before="0"/>
        <w:jc w:val="center"/>
      </w:pPr>
      <w:r>
        <w:rPr>
          <w:rFonts w:ascii="David" w:hAnsi="David" w:cs="David" w:eastAsia="David" w:hint="cs"/>
          <w:b/>
          <w:bCs w:val="1"/>
          <w:sz w:val="28"/>
          <w:szCs w:val="28"/>
          <w:u w:val="single"/>
          <w:rtl w:val="1"/>
          <w:lang w:bidi="he-IL"/>
        </w:rPr>
        <w:t>חלק שני – עיקר הטענות</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טענות מקדמיות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מכף רגל ועד ראש, כתב התביעה דנא כולו פצע וחבורה ומכה טריה ואין בו מתום. התובעת – חברה ממשלתית האמונה על ניהול מלאי הדיור הציבורי של מדינת ישראל, והחבה מכוח כך בחובת הגינות מוגברת כלפי הפונים אליה – עותרת להוציא מן הדירה אישה כבת 42, רווקה, נכה בשיעור 100%, אשר אינה עובדת ומתקיימת מקצבת נכות, ואשר הדירה היא ביתה היחיד. וכל זאת, תוך שהיא מכתירה אותה בתואר "פולשת".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ודוק; התביעה דנא אינה נשענת על ממצא, אלא על היעדרו. התובעת לא ערכה שימוע לנתבעת, לא בחנה ולו תבחין אחד מתבחיני הזכאות שהיא עצמה נדרשה לבדוק, השאירה את שדה "נימוקים והמלצות" ריק כליל, ולא המציאה את החלטתה. תחת כל אלה היא מניחה על שולחן בית המשפט הנכבד מסמך אחד: "פרוטוקול ועדת לגליזציה מחוזית", ובו טבלת ביקורים שהיא עצמה מילאה ו</w:t>
      </w:r>
      <w:r>
        <w:rPr>
          <w:rFonts w:ascii="David" w:hAnsi="David" w:cs="David" w:eastAsia="David" w:hint="cs"/>
          <w:b/>
          <w:bCs w:val="1"/>
          <w:sz w:val="24"/>
          <w:szCs w:val="24"/>
          <w:u w:val="single"/>
          <w:rtl w:val="1"/>
          <w:lang w:bidi="he-IL"/>
        </w:rPr>
        <w:t>שתי שורות בכתב יד</w:t>
      </w:r>
      <w:r>
        <w:rPr>
          <w:rFonts w:ascii="David" w:hAnsi="David" w:cs="David" w:eastAsia="David" w:hint="cs"/>
          <w:b w:val="0"/>
          <w:sz w:val="24"/>
          <w:szCs w:val="24"/>
          <w:u w:val="none"/>
          <w:rtl w:val="1"/>
          <w:lang w:bidi="he-IL"/>
        </w:rPr>
        <w:t>.</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ומה מלמדת אותה טבלה? בשורת הביקור מיום 3.7.2024 סימנה התובעת בשתי המשבצות גם יחד: "דייר חוזי – גר: כן", ולצידה "דייר ממשיך – גר: כן". הא כיצד? המנוח הלך לבית עולמו ביום 16.2.2024, למעלה מארבעה חודשים וחצי קודם לאותו ביקור. לא זו בלבד, אלא שטופס אותו ביקור עצמו נושא חתימה בצד השם "שם הדייר: מנבר וונדימאג'ן" – שמו של אדם שכבר לא היה בין החיים.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בצר לה, מבקשת התובעת לבנות קונסטרוקציה משפטית קלוקלת – בלתי צליחה – שלפיה מי שגדלה בדירה מילדותה הפכה ביום מותו של אביה, כהרף עין, ל"פולשת". ואילו התובעת עצמה, באותה נשימה, הוסיפה לנהל את חשבון הדירה כחשבון פעיל, הוסיפה לחייב בדמי שכירות, וזקפה לזכות החשבון הנחת מדרוג שתוקפה עד ליום 30.9.2024 – היינו, חודשים ארוכים לאחר אותה "פלישה" נטענת. הא ותו לא.</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בטלות ההחלטה מיום 2.9.2024 – תקיפה עקיפה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הסעד המבוקש נשען כל כולו על החלטת ועדת הלגליזציה. ודוק; החלטה זו בטלה מעיקרה, ובית המשפט הנכבד מתבקש לקבוע כן במסגרת תקיפה עקיפה. ראשית, ועדת הלגליזציה החילה על הנתבעת מבחן מחמיר מזה שבחוק: על גבי הטופס עצמו מודפסת ההוראה כי נדרשים ביקורי מעגל "מתאריך 1.8.09 ועד מועד הבקשה </w:t>
      </w:r>
      <w:r>
        <w:rPr>
          <w:rFonts w:ascii="David" w:hAnsi="David" w:cs="David" w:eastAsia="David" w:hint="cs"/>
          <w:b/>
          <w:bCs w:val="1"/>
          <w:sz w:val="24"/>
          <w:szCs w:val="24"/>
          <w:u w:val="single"/>
          <w:rtl w:val="1"/>
          <w:lang w:bidi="he-IL"/>
        </w:rPr>
        <w:t>ולא פחות מ-4 שנות מגורים רצופות</w:t>
      </w:r>
      <w:r>
        <w:rPr>
          <w:rFonts w:ascii="David" w:hAnsi="David" w:cs="David" w:eastAsia="David" w:hint="cs"/>
          <w:b w:val="0"/>
          <w:sz w:val="24"/>
          <w:szCs w:val="24"/>
          <w:u w:val="none"/>
          <w:rtl w:val="1"/>
          <w:lang w:bidi="he-IL"/>
        </w:rPr>
        <w:t xml:space="preserve">" – בעוד שהחוק נוקב בשלוש שנים. שנית, טבלת האימות שבטופס, שבה נדרש סגן מנהל מרכז השירות לציין את ממצאיו בסעיפי "חסר דירה", "מומש סיוע בשכ"ד", "כתובות" ו"גבולות" – נותרה, בכל שורותיה, ללא כל סימון. היינו: </w:t>
      </w:r>
      <w:r>
        <w:rPr>
          <w:rFonts w:ascii="David" w:hAnsi="David" w:cs="David" w:eastAsia="David" w:hint="cs"/>
          <w:b/>
          <w:bCs w:val="1"/>
          <w:sz w:val="24"/>
          <w:szCs w:val="24"/>
          <w:u w:val="single"/>
          <w:rtl w:val="1"/>
          <w:lang w:bidi="he-IL"/>
        </w:rPr>
        <w:t>התובעת מעולם לא בדקה את תבחיני הזכאות שעל יסודם היא טוענת כי הנתבעת אינה זכאית</w:t>
      </w:r>
      <w:r>
        <w:rPr>
          <w:rFonts w:ascii="David" w:hAnsi="David" w:cs="David" w:eastAsia="David" w:hint="cs"/>
          <w:b w:val="0"/>
          <w:sz w:val="24"/>
          <w:szCs w:val="24"/>
          <w:u w:val="none"/>
          <w:rtl w:val="1"/>
          <w:lang w:bidi="he-IL"/>
        </w:rPr>
        <w:t>.</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שלישית, המסמך מוכתר "פרוטוקול", ואולם אין בו זכר לישיבה: אין רישום נוכחים, אין ציון מי מן החתומים שימש כיו"ר, שניים בלבד משלושת שדות החתימה מולאו, אין תיעוד דיון, והשדה "מצ"ב החלטת ועדה מיום:" נותר ריק. רביעית, השדה "נימוקים והמלצות" נותר ריק כליל, וכל שנרשם תחת "החלטת הוועדה המחוזית" הן שתי שורות בכתב יד, שאינן מתמודדות עם ולו תבחין אחד. ואף אין זכר לכך שהנתבעת זומנה, נשמעה או יוצגה – בניגוד לחובת השימוע ולחובת ההנמקה החלות על התובעת כגוף דו-מהותי, וברוח חוק לתיקון סדרי המינהל (החלטות והנמקות), התשי"ט-⁠1958. חמישית, מי שערך את התשתית העובדתית ומי שהכריע על פיה באים מאותו מרכז שירות עצמו. ושישית, ולמעלה מן הצורך – לא הוצגה ולו ראיה אחת כי ההחלטה הומצאה לנתבעת אי פעם, או כי הנתבעת הועמדה על זכותה להשיג עליה.</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היעדר עילה – "פלישה" שלא היתה ולא נבראה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כתב התביעה כולו נשען על הטענה כי הנתבעת "פלשה" אל הדירה "עם פטירת אביה המנוח" (סעיפים 9 ו-15 לכתב התביעה). ברם, מי שהתגוררה בדירה מכוח רשות, ואשר נותרה בה לאחר פטירת מי שהתקשר בחוזה, אינה "פולשת" לפי כל אמת מידה משפטית; לכל היותר עסקינן בבת-רשות שרישיונה פקע, על כל המשתמע מכך לעניין הסעד ולעניין שיקולי הצדק. ודוק; התובעת עצמה לא נהגה כמי שנפלה קורבן לפלישה: היא לא סימנה "פלישה" באף אחד מטופסי הביקור, הוסיפה לנהל את חשבון הדירה כחשבון פעיל, והוסיפה לחייב בדמי שכירות אף לאחר הפטירה.</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אי-מיצוי ההליך – היעדר בחינה של הנסיבות ההומניטריות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קיבלה את החלטתה מבלי שפנתה לגורמי הרווחה ומבלי שביררה את מצבה הרפואי והנפשי של הנתבעת, ומבלי שהובאו בפניה נתונים אלה כלל. כמפורט בחלק השלישי להלן, עסקינן באישה המוכרת לשירותי הרווחה, המתמודדת עם נכות נפשית ועם פיברומיאלגיה ומקבלת קצבת נכות בשיעור 100%, כעולה מנספח ב'. משלא נבחנו נסיבות אלו – לא במסגרת ועדת הלגליזציה ולא בפני הוועדה המוסמכת לבחינת מקרים חריגים – לא מוצה ההליך המנהלי, ואין בידי התובעת להיזקק לסעד של סילוק יד.</w:t>
      </w:r>
    </w:p>
    <w:p>
      <w:pPr>
        <w:keepNext w:val="1"/>
        <w:keepLines w:val="1"/>
        <w:bidi w:val="1"/>
        <w:spacing w:lineRule="auto" w:line="360" w:after="100" w:before="160"/>
        <w:jc w:val="left"/>
      </w:pPr>
      <w:r>
        <w:rPr>
          <w:rFonts w:ascii="David" w:hAnsi="David" w:cs="David" w:eastAsia="David" w:hint="cs"/>
          <w:b/>
          <w:bCs w:val="1"/>
          <w:sz w:val="24"/>
          <w:szCs w:val="24"/>
          <w:u w:val="single"/>
          <w:rtl w:val="1"/>
          <w:lang w:bidi="he-IL"/>
        </w:rPr>
        <w:t>שיהוי, ויתור והשתק</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המנוח הלך לבית עולמו ביום 16.2.2024; ההחלטה ניתנה ביום 2.9.2024; וכתב התביעה נחתם ביום 3.6.2026 – בחלוף כעשרים ואחד חודשים מן ההחלטה וכעשרים ושבעה חודשים מן הפטירה. בכל אותה עת הוסיפה התובעת לנהל את חשבון הדירה כחשבון פעיל, הוסיפה לחייב בדמי שכירות, ואף זקפה הנחת מדרוג שתוקפה עד ליום 30.9.2024 – היינו, לאחר הפטירה. מי שנוהג כך למעלה משנתיים מנוע ומושתק מלטעון כי מנגד ניצבת "פולשת". ויובהר; ככל שתיטען מנגד טענת שיהוי כלפי הנתבעת, הרי שההחלטה מעולם לא הומצאה לה, וממילא לא החל מרוץ כלשהו בעניינה.</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תמצית טענות ההגנה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מבלי לגרוע מן הטענות המקדמיות, ולחלופין להן, להלן תמצית הגנת הנתבעת, בהתאמה לעילות התביעה כסדרן.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ראשית, ובניגוד לנטען בסעיפים 9 ו-15 לכתב התביעה, הנתבעת לא "פלשה" לדירה ולא תפסה בה חזקה עם פטירת המנוח. הנתבעת התגוררה בדירה עם אביה שנים ארוכות עובר לפטירתו, והיא מוסיפה להתגורר בה מאז ועד היום. הדירה היא ביתה היחיד, ואין לה כל דירה אחרת או פתרון דיור אחר.</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שנית, ובניגוד לנטען בסעיפים 10, 18 ו-19 לכתב התביעה, הנתבעת היא בתו של המנוח – הוא "הזכאי" כמשמעותו בחוק זכויות הדייר בדיור הציבורי, התשנ"ח-⁠1998 – והיא התגוררה עמו בדירה ברציפות, ובסמוך למועד פטירתו, תקופה העולה בהרבה על שלוש השנים הקבועות בהגדרת "דייר ממשיך" שבסעיף 1 לחוק. הנתבעת אף עומדת בתבחיני הזכאות, כמפורט בחלק השלישי להלן – תבחינים אשר התובעת, כאמור, מעולם לא טרחה לבדוק.</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שלישית, ובניגוד לנטען בסעיף 16 לכתב התביעה, אין בטופסי הביקור ובהצהרות המנוח כדי לבסס את התביעה. אלו מסמכיה של התובעת, שנוסחו על ידה, על גבי טפסים מודפסים מראש, ונחתמו בידי המנוח – עולה קשיש יליד 1943 – ולא בידי הנתבעת. ואין אדם יכול לוותר, בהצהרה שנוסחה עבורו, על זכותו הסטטוטורית של אדם אחר. הפירוט – בחלק השלישי להלן.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רביעית, מסכת הראיות של התובעת סותרת את עצמה. בטופס מיום 3.8.2020 נרשם, בשדה "גר/ה בגפו/ה", </w:t>
      </w:r>
      <w:r>
        <w:rPr>
          <w:rFonts w:ascii="David" w:hAnsi="David" w:cs="David" w:eastAsia="David" w:hint="cs"/>
          <w:b/>
          <w:bCs w:val="1"/>
          <w:sz w:val="24"/>
          <w:szCs w:val="24"/>
          <w:u w:val="single"/>
          <w:rtl w:val="1"/>
          <w:lang w:bidi="he-IL"/>
        </w:rPr>
        <w:t>"לא"</w:t>
      </w:r>
      <w:r>
        <w:rPr>
          <w:rFonts w:ascii="David" w:hAnsi="David" w:cs="David" w:eastAsia="David" w:hint="cs"/>
          <w:b w:val="0"/>
          <w:sz w:val="24"/>
          <w:szCs w:val="24"/>
          <w:u w:val="none"/>
          <w:rtl w:val="1"/>
          <w:lang w:bidi="he-IL"/>
        </w:rPr>
        <w:t>; בביקור מיום 18.12.2023 לא נמצא הדייר בדירה כלל; ובביקור מיום 3.7.2024 נרשם כי הביקור נערך עם בתו של המנוח, ובגינו סימנה התובעת "דייר ממשיך – גר: כן" – ובאותה שורה עצמה סימנה גם כי המנוח, שנפטר חודשים קודם לכן, "גר: כן". מסכת שכזו אינה יכולה לשמש יסוד לפינוי אדם מביתו.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חמישית, ולמצער, אף אם ייקבע כי הנתבעת אינה באה בגדר "דייר ממשיך" – ואין זה המצב – הרי שנסיבותיה ההומניטריות מחייבות בחינה בפני הוועדה המוסמכת לכך בטרם יינתן סעד של פינוי, ובטרם תוסדר לה חלופת דיור.</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טיעונים לעניין הסעד המבוקש</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דין התביעה להידחות על הסף, ולחלופין לגופה. סילוק יד הוא סעד שבשיקול דעת, ואין להיעתר לו שעה שהתובעת היא רשות ציבורית שראיותיה שלה סותרות את טענותיה, שהחילה מבחן מחמיר מזה שבחוק, שלא בדקה את תבחיני הזכאות שעליהם היא נסמכת, שלא קיימה שימוע, שהותירה את שדה הנימוקים ריק ושלא המציאה את החלטתה.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מבלי לגרוע מן האמור, ולחלופין בלבד – גם אם היה ממש בטענות התובעת, ואין זה המצב – הרי שמתבקש בית המשפט הנכבד להורות כי לא יינתן צו פינוי בטרם יובא עניינה של הנתבעת בפני הוועדה המוסמכת לבחינת מקרים חריגים מטעמים הומניטריים, כשלפניה מונחים מכתב גורם הרווחה ומלוא התשתית הרפואית, ובטרם תוסדר לנתבעת חלופת דיור הולמת. פינוי אישה נכה בשיעור 100% מביתה היחיד אל הרחוב אינו עולה בקנה אחד עם חוק-יסוד: כבוד האדם וחירותו, עם חובת ההתאמות שבחוק שוויון זכויות לאנשים עם מוגבלות, התשנ"ח-⁠1998, ועם תכליתו של חוק זכויות הדייר בדיור הציבורי, התשנ"ח-⁠1998.</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ולחלופי חלופין, ככל שייקבע כי דין הדירה להתפנות – מתבקש בית המשפט הנכבד לעכב את ביצוע הפינוי לתקופה משמעותית, ההולמת את מצבה הרפואי והנפשי של הנתבעת ואת שנות מגוריה בדירה.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אשר לעתירת התובעת לחיוב הנתבעת ב"הוצאות משפט מוגברות" בשל "התנהלותה המקוממת" (סעיף 24 לכתב התביעה) – דינה להידחות מכל וכל.</w:t>
      </w:r>
    </w:p>
    <w:p>
      <w:pPr>
        <w:keepNext w:val="1"/>
        <w:keepLines w:val="1"/>
        <w:pageBreakBefore/>
        <w:bidi w:val="1"/>
        <w:spacing w:lineRule="auto" w:line="360" w:after="160" w:before="0"/>
        <w:jc w:val="center"/>
      </w:pPr>
      <w:r>
        <w:rPr>
          <w:rFonts w:ascii="David" w:hAnsi="David" w:cs="David" w:eastAsia="David" w:hint="cs"/>
          <w:b/>
          <w:bCs w:val="1"/>
          <w:sz w:val="28"/>
          <w:szCs w:val="28"/>
          <w:u w:val="single"/>
          <w:rtl w:val="1"/>
          <w:lang w:bidi="he-IL"/>
        </w:rPr>
        <w:t>חלק שלישי – טיעון עובדתי</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הרקע העובדתי</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בשנת 1996 נחתם בין התובעת לבין המנוח חוזה שכירות ביחס לדירה – דירה בת שלושה חדרים ברח' צה"ל 72, דירה 6, פתח תקווה. בחוזה נקוב יום 8.8.1996 כתאריך מסירת החזקה המשוער, והוא גם התאריך הרשום בשדה "תאריך אכלוס" בכל אחד ואחד מטופסי הביקור. ממועד זה ואילך רשומה הדירה בספרי התובעת כמאוכלסת, כעולה מן התאריך "08/08/1996" המודפס בשדה "תאריך אכלוס" בכל אחד ואחד מטופסי הביקור. חוזה השכירות צורף כנספח 1 לכתב התביעה.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המנוח, יליד 23.9.1943, עלה לישראל מאתיופיה ביום 25.5.1991. מצבו המשפחתי נרשם בטופסי התובעת תחילה כ"חד הורי" ובהמשך כ"גרוש". הנתבעת היא בתו. ודוק; רישומים אלו נעשו בידי נציגי התובעת עצמה.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הנתבעת התגוררה בדירה יחד עם אביה המנוח שנים ארוכות עובר לפטירתו, לרבות – ובפרט – בשלוש השנים שקדמו לה, והיא מוסיפה להתגורר בה עד עצם היום הזה. הדירה היא ביתה היחיד. הנתבעת אינה בעלת זכויות בדירה אחרת, לא מימשה סיוע בשכר דירה, ואין לה כל פתרון דיור חלופי.</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המנוח הלך לבית עולמו ביום 16.2.2024 בבית החולים בילינסון. תעודת הפטירה, אשר צורפה כנספח 3 לכתב התביעה, הופקה ביום 10.3.2024, ולפי הרשום על גביה נשלחה אל "טדילה וונדימאגן [כך במקור], צה"ל 72 דירה 6, פתח תקווה" – היינו, אל כתובתה של הנתבעת בדירה.</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טופסי הביקור – מסכת ראייתית סותרת את עצמה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סומכת את תביעתה על טופסי הביקור. הנתבעת תטען כי אין בהם כדי לבסס ממצא כלשהו, וכי הם סותרים זה את זה ואף את עצמם. ויודגש: המדובר בטפסים אשר מולאו בידי נציגי התובעת, לצרכיה שלה, ואשר הנתבעת מעולם לא נדרשה לחתום עליהם ולא הוזמנה להתייחס לתוכנם.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בטופס מיום 3.8.2020, שנערך בידי הגב' ויקטוריה לוי, נרשם בשדה "גר/ה בגפו/ה" – </w:t>
      </w:r>
      <w:r>
        <w:rPr>
          <w:rFonts w:ascii="David" w:hAnsi="David" w:cs="David" w:eastAsia="David" w:hint="cs"/>
          <w:b/>
          <w:bCs w:val="1"/>
          <w:sz w:val="24"/>
          <w:szCs w:val="24"/>
          <w:u w:val="single"/>
          <w:rtl w:val="1"/>
          <w:lang w:bidi="he-IL"/>
        </w:rPr>
        <w:t>"לא"</w:t>
      </w:r>
      <w:r>
        <w:rPr>
          <w:rFonts w:ascii="David" w:hAnsi="David" w:cs="David" w:eastAsia="David" w:hint="cs"/>
          <w:b w:val="0"/>
          <w:sz w:val="24"/>
          <w:szCs w:val="24"/>
          <w:u w:val="none"/>
          <w:rtl w:val="1"/>
          <w:lang w:bidi="he-IL"/>
        </w:rPr>
        <w:t>. זהו רישום שנערך בזמן אמת בידי התובעת עצמה, והוא קובע כי המנוח לא התגורר בדירה לבדו. אך טבעי הוא שהתובעת מבקשת כיום להתעלם ממנו.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בטופס מיום 21.10.2021, שנערך בידי הגב' נטלי לוגסי, נותרו שתי המשבצות שליד השאלה "האם גר/ה בגפו/ה" ריקות; במשבצת "בביקור זה – מסכים לעבור" סומן "מעוניין להישאר"; ומועד הביקור הנקוב בגוף הטופס אינו עולה בקנה אחד עם המועד שאישר הרכז בשוליו – 10.11.2021.</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בטופס מיום 18.12.2023 – האחרון בחיי המנוח – נרשם מפורשות: "נקבע מספר פעמים ביקור בית, הדייר אומר אני אהיה בבית, לא נמצא". ודוק; ביקור שבו </w:t>
      </w:r>
      <w:r>
        <w:rPr>
          <w:rFonts w:ascii="David" w:hAnsi="David" w:cs="David" w:eastAsia="David" w:hint="cs"/>
          <w:b/>
          <w:bCs w:val="1"/>
          <w:sz w:val="24"/>
          <w:szCs w:val="24"/>
          <w:u w:val="single"/>
          <w:rtl w:val="1"/>
          <w:lang w:bidi="he-IL"/>
        </w:rPr>
        <w:t>לא נמצא הדייר</w:t>
      </w:r>
      <w:r>
        <w:rPr>
          <w:rFonts w:ascii="David" w:hAnsi="David" w:cs="David" w:eastAsia="David" w:hint="cs"/>
          <w:b w:val="0"/>
          <w:sz w:val="24"/>
          <w:szCs w:val="24"/>
          <w:u w:val="none"/>
          <w:rtl w:val="1"/>
          <w:lang w:bidi="he-IL"/>
        </w:rPr>
        <w:t xml:space="preserve"> אינו יכול ללמד דבר וחצי דבר על זהות המתגוררים בדירה. חרף זאת הוטבעה על אותו טופס חותמת "מסרב לחתום", ותמהני; מי הוא זה אשר סירב לחתום, שעה שהדייר כלל לא נמצא? הנתבעת תטען כי חותמת זו הוטבעה כדבר שבשגרה – כפי שהוטבעה אף על הטופס מיום 3.8.2022 – וכי אין בה כדי ללמד על דבר.</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ולבסוף, הטופס מיום 3.7.2024 – הוא הביקור היחיד שנערך לאחר הפטירה – מדבר בעד עצמו. בשדה ההערות נרשם: "דייר חוזי נפטר , ביקור עם הבת עדן טדלה" [כך במקור]. היינו: נציגת התובעת הגיעה אל הדירה, מצאה בה את בתו של המנוח, וערכה עמה את הביקור. בהתאם לכך סימנה התובעת בטבלת ועדת הלגליזציה, בשורת אותו ביקור, </w:t>
      </w:r>
      <w:r>
        <w:rPr>
          <w:rFonts w:ascii="David" w:hAnsi="David" w:cs="David" w:eastAsia="David" w:hint="cs"/>
          <w:b/>
          <w:bCs w:val="1"/>
          <w:sz w:val="24"/>
          <w:szCs w:val="24"/>
          <w:u w:val="single"/>
          <w:rtl w:val="1"/>
          <w:lang w:bidi="he-IL"/>
        </w:rPr>
        <w:t>"דייר ממשיך – גר: כן"</w:t>
      </w:r>
      <w:r>
        <w:rPr>
          <w:rFonts w:ascii="David" w:hAnsi="David" w:cs="David" w:eastAsia="David" w:hint="cs"/>
          <w:b w:val="0"/>
          <w:sz w:val="24"/>
          <w:szCs w:val="24"/>
          <w:u w:val="none"/>
          <w:rtl w:val="1"/>
          <w:lang w:bidi="he-IL"/>
        </w:rPr>
        <w:t>. ויודגש; תהא זהות הבת אשר תהא, התובעת עצמה סימנה באותה שורה כי דייר ממשיך מתגורר בדירה – ובה בעת סימנה כי גם הדייר החוזי, שנפטר, מתגורר בה. רישום זה חסר ערך ראייתי בשני מובניו.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ואולם באותה שורה עצמה סימנה התובעת גם "דייר חוזי – גר: כן", וטופס אותו ביקור נושא את שורת החתימה "שם הדייר: מנבר וונדימאג'ן" – והכל ביחס לאדם שהלך לבית עולמו למעלה מארבעה חודשים וחצי קודם לכן. אין זאת אלא כי הטפסים שעל יסודם מבקשת התובעת להוציא את הנתבעת מביתה מולאו כלאחר יד. ומשכך, אף הרישומים הלאקוניים שבהם – "מספר נפשות: 1" ו"דייר ממשיך: לא", המועתקים משנה לשנה – אינם יכולים לשאת את המשקל שהתובעת מבקשת להעמיס עליהם.</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הצהרות המנוח – מסמכי התובעת, לא מסמכי הנתבעת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נסמכת בסעיף 16 לכתב התביעה על הצהרות שנחתמו בידי המנוח, ולפיהן הוא "גר בגפו". הנתבעת אינה מכחישה את עצם קיומן של ההצהרות, אך תטען כי אין בהן כדי להכריע דבר, ולמצער כי משקלן אפסי.</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ראשית, ולגופו של עניין – הצהרותיו של המנוח הן ראיה לדבריו שלו, ולא לעובדות. השאלה מי התגורר בדירה בפועל היא שאלה עובדתית אובייקטיבית, המוכרעת בראיות, ולא בטופס שניסחה התובעת לצרכיה. וכבר נאמר כי אין אדם יכול לגרוע, בהצהרה שנחתמה על ידו, מזכותו הסטטוטורית של אדם אחר – קל וחומר כאשר אותו אדם אחר לא היה צד לה, לא נכח בעת עריכתה ולא ידע עליה.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שנית, חלק מן ההצהרות נושאות אזהרה כדין, וחלקן לא; ואולם המשותף לכולן הוא שהן טפסים מודפסים מראש. בחלקן נוסחן הוא "אני/ו גר/ה/ים לבדי/נו בדירה" – כאשר החלופות מעולם לא נמחקו, ודבר לא הותאם לנסיבותיו של המנוח. הא ותו לא: טופס אחיד שהוחתם מכנית, אזהרה או לא אזהרה, אינו יכול להכריע בשאלה עובדתית שלא נבדקה מעולם.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שלישית, ובעיקר – ההצהרות נחתמו בידי עולה קשיש יליד 1943, שעלה ארצה בשנת 1991. בטופס הביקור מיום 11.8.2010 נרשם, בכתב יד, כי הביקור נערך בשפה האמהרית, בעוד ששדה "נכח מתורגם" [כך במקור] (שם, ת.⁠ז.⁠ וחתימה) נותר ריק כליל. בטופסי הביקור מן השנים שלאחר מכן נותר שדה השפה ריק כליל, לצד שדה "נכח מתורגם" הריק אף הוא; ורק בטופסי "סיכום ביקור" המאוחרים נרשם "שפת ביקור: עברית". התובעת תידרש להסביר כיצד אדם שנזקק בשנת 2010 לביקור בשפת אמו, חתם בשנים שלאחר מכן על מסמכים משפטיים בעברית, בלא מתורגמן, ובלא שהוסבר לו תוכנם.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רביעית, ההצהרות נגבו מן המנוח כדבר שבשגרה, אגב אותם ביקורי גבייה עצמם שבמסגרתם נקבעו "הנחת המדרוג" ו"מועד סיום ההנחה" אשר בהם היה תלוי. אדם קשיש התלוי בהנחה בדמי שכירות, החותם על טופס שמגיש לו נציג המשכיר, אינו חותם מרצון חופשי מלא.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חמישית, ולעניין הסעיף שבו נאמר כי ההצהרה "לא תאפשר לקרובי לטעון כי גרו איתי בדירה... כדי להיחשב 'דיירים ממשיכים'" – הרי שאין בתניה זו כדי להועיל לתובעת. תניה חוזית שנוסחה בידי רשות ציבורית, על גבי טופס אחיד, ואשר תכליתה לשלול מראש זכות סטטוטורית מצד שלישי שאינו חתום עליה – דינה בטלות, הן מכוח סעיף 30 לחוק החוזים (חלק כללי), התשל"ג-⁠1973, בהיותה נוגדת את תקנת הציבור, הן מכוח דיני החוזים האחידים. זכות הדייר הממשיך אינה קניינו של המנוח כדי שיוכל לוותר עליה בשם בתו.</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המסגרת הנורמטיבית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סעיף 1 לחוק זכויות הדייר בדיור הציבורי, התשנ"ח-⁠1998, מגדיר "דייר ממשיך", בין היתר, כילדו של הזכאי "ובלבד שהתגורר עם הזכאי בדירה הציבורית תקופה של שלוש שנים לפחות בסמוך למועד פטירת הזכאי". התובעת נסמכת בסעיף 19 לכתב התביעה על תיקון מס' 3 לחוק ועל התבחינים המצטברים שמכוחו, ולפיהם נדרש הדייר הממשיך לעמוד אף בתנאי זכאות עצמאיים.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ודוק; אף לשיטתה של התובעת, ומכוח אותם תבחינים ממש, מוטלת עליה החובה לבחון אותם. אין רשות רשאית לקבוע כי אדם אינו עומד בתבחינים שהיא מעולם לא בדקה. ומקום שהוקנה לרשות שיקול דעת מנהלי, חלות עליה חובות השימוע, ההנמקה, איסוף התשתית העובדתית, המידתיות וההגינות המוגברת – בפרט שעה שההחלטה נוגעת בזכות לקורת גג, הנגזרת מכבוד האדם.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הפסיקה שהתובעת מפנה אליה בסעיף 20 לכתב התביעה [עע"ם 6390/21 אלמון נ' משרד הבינוי והשיכון; עע"ם 2414/17 קלדרון נ' חלמיש; עע"ם 3351/13 נתנאל נ' חלמיש; רע"א 3798/07 זריהן נ' עמידר] אינה מסייעת לתובעת בנסיבות דנא, ואין בה כדי לפטור את הרשות מחובותיה שלה.</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מן הכלל אל הפרט</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מן הכלל אל הפרט: כמפורט בסעיף 5 לעיל, טבלת האימות שבטופס ועדת הלגליזציה נותרה ריקה בכל שורותיה, ולא נבחן בעניינה של הנתבעת ולו תבחין אחד. משכך, הקביעה כי "לא עלה בידי הנתבעת לעמוד בנטל התבחינים המצטברים" (סעיף 19 לכתב התביעה) אינה קביעה כלל – היא הנחה.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הנה כי כן; המבחן שהוחל אינו המבחן שבדין, אלא מבחן של ארבע שנות מגורים רצופות חלף שלוש השנים שקבע המחוקק. רשות המחילה על אדם מבחן מחמיר מזה שקבע המחוקק – החלטתה בטלה.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ולבסוף, טבלת האימות – שבה נדרש סגן מנהל מרכז השירות לציין את ממצאיו – נושאת את התאריך 1.11.2023, היינו כשלושה חודשים וחצי </w:t>
      </w:r>
      <w:r>
        <w:rPr>
          <w:rFonts w:ascii="David" w:hAnsi="David" w:cs="David" w:eastAsia="David" w:hint="cs"/>
          <w:b/>
          <w:bCs w:val="1"/>
          <w:sz w:val="24"/>
          <w:szCs w:val="24"/>
          <w:u w:val="single"/>
          <w:rtl w:val="1"/>
          <w:lang w:bidi="he-IL"/>
        </w:rPr>
        <w:t>בטרם נפטר אביה של הנתבעת</w:t>
      </w:r>
      <w:r>
        <w:rPr>
          <w:rFonts w:ascii="David" w:hAnsi="David" w:cs="David" w:eastAsia="David" w:hint="cs"/>
          <w:b w:val="0"/>
          <w:sz w:val="24"/>
          <w:szCs w:val="24"/>
          <w:u w:val="none"/>
          <w:rtl w:val="1"/>
          <w:lang w:bidi="he-IL"/>
        </w:rPr>
        <w:t xml:space="preserve"> וכעשרה חודשים לפני מועד ההחלטה; ואילו שם סגן המנהל וחתימתו נותרו ריקים אף הם. הא ותו לא.</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מכתב גורם הרווחה והמלצתו</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בחודש יולי 2026 פנתה המחלקה לשירותים חברתיים "ירקון" שבמינהל השירותים החברתיים בעיריית פתח תקווה במכתב "לכל מאן דבעי" שעניינו הנתבעת. מכתב זה מצ"ב ומסומן כנספח 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במכתב נמסר, מפי הגורם המקצועי, כי הנתבעת "היתה מוכרת ברווחה לאורך שנים, על רקע קשיים כלכליים, משפחתיים ובריאותיים", וכי היא "בת 42 רווקה ללא ילדים מתמודדת עם נכות נפשית ופיברומיאלגיה, אינה עובדת ומקבלת קיצבה 100% נכות מביטוח לאומי". עוד נמסר בו כי הנתבעת "מצויה בהתקף חרדה עקב המצב ולטענתה אין לה את היכולת להתמודד עם מעברים ושינויים".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 xml:space="preserve">וחשוב מכל – סיפת המכתב, כהאי לישנא: "לאור זאת, נודה על כל התחשבות במצבה </w:t>
      </w:r>
      <w:r>
        <w:rPr>
          <w:rFonts w:ascii="David" w:hAnsi="David" w:cs="David" w:eastAsia="David" w:hint="cs"/>
          <w:b/>
          <w:bCs w:val="1"/>
          <w:sz w:val="24"/>
          <w:szCs w:val="24"/>
          <w:u w:val="single"/>
          <w:rtl w:val="1"/>
          <w:lang w:bidi="he-IL"/>
        </w:rPr>
        <w:t>והימנעות מהוצאתה מהדירה בה מתגוררת מזה 30 שנה</w:t>
      </w:r>
      <w:r>
        <w:rPr>
          <w:rFonts w:ascii="David" w:hAnsi="David" w:cs="David" w:eastAsia="David" w:hint="cs"/>
          <w:b w:val="0"/>
          <w:sz w:val="24"/>
          <w:szCs w:val="24"/>
          <w:u w:val="none"/>
          <w:rtl w:val="1"/>
          <w:lang w:bidi="he-IL"/>
        </w:rPr>
        <w:t>" [ההדגשה של הח"מ; ר' נספח 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ודוק; בקשת הגורם המקצועי, בפסקה האופרטיבית של מכתבו, מתייחסת לשלושים שנות מגורים בדירה – פרק זמן העולה בקנה אחד עם תאריך האכלוס הרשום בטופסי התובעת עצמה. הנתבעת תטען כי התובעת, כרשות ציבורית, אינה רשאית להתעלם מעמדתו של גורם מקצועי מוסמך זה, וכי משנשלח המכתב לאחר מתן ההחלטה – קמה חובה לשוב ולבחון את העניין לאורו.</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התייחסות פרטנית לטענות כתב התביעה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1, 5, 6, 7, 13 ו-17 אינו מוכחש.</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2 מוכחש מכל וכל. הנתבעת אינה "פולשת", לא פלשה לדירה ואינה מחזיקה בה שלא כדין.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3, 4, 23 ו-24 מוכחש. אין התובעת זכאית לסעד כלשהו, וממילא אין היא זכאית להוצאות מוגברות.</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8 ו-14 אינו מוכחש, למעט המילה "בעבר", המבקשת ליצור מצג כאילו הסתיימה הזיקה בין המשפחה לבין הדירה; ובכפוף לאמור בסעיף 2(ז) לחוזה השכירות, המתנה את סיום השכירות ב"הודעה בכתב של שישים יום מראש" – הודעה אשר לא צורפה ולא נטענה.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9 ו-15 מוכחש באופן גורף ומוחלט, כמפורט לעיל.</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10 מוכחש. הגוף שדן בעניינה של הנתבעת הוא ועדת לגליזציה מחוזית – ועדה פנימית של התובעת; היא לא שמעה את הנתבעת; היא לא בחנה את התבחינים; ושדה "נימוקים והמלצות" בטופסה נותר ריק.</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11 מוכחש. לא צורפה ולו דרישת פינוי אחת, ולא נטען מתי, כיצד ובידי מי נמסרה. הנתבעת מעולם לא "התבצרה" בדירה – היא מתגוררת בביתה.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12 אינו טענה שבעובדה אלא סיכום, ומוכחש בהתאם.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16 מוכחש. אין הכחשה לעצם קיומם של טופסי הביקור וההצהרות; ואולם תוכנם, משקלם והמסקנה המבוקשת מהם מוכחשים מכל וכל, כמפורט לעיל בהרחבה.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ביחס לנטען בסעיף 18 – אין הכחשה לעצם קיומו של המסמך שצורף כנספח 4, שתוכנו מדבר בעד עצמו. מוכחש כי המדובר בוועדה מוסמכת, וכי המדובר בהחלטה שנתקבלה כדין.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19 מוכחש. הנתבעת עומדת בתבחינים; ומכל מקום, התובעת מעולם לא בדקה אותם, ולא הציגה את הנוהל שמכוחו נבחנה הבקשה.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בסעיף 20 אינו טענה שבעובדה ואינו טעון הכחשה; ולגופו – האסמכתאות הנזכרות בו אינן מסייעות לתובעת בנסיבות דנא.</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הנטען בסעיפים 21 ו-22 מוכחש מכל וכל. לא הנתבעת היא שנהגה שלא כדין.</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סיכום</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התובעת מבקשת להוציא מביתה אישה נכה בשיעור 100%, שהדירה היא ביתה היחיד, על יסוד החלטה מנהלית שנתקבלה בלא שימוע, בלא שמולא שדה הנימוקים ובלא המצאה.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ועדת הלגליזציה החילה מבחן של ארבע שנות מגורים, בעוד החוק נוקב בשלוש; ואת תבחיני הזכאות שעל יסודם נדחתה הבקשה – היא מעולם לא בדקה, כעולה מטבלת האימות הריקה שבטופסה שלה.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טופסי הביקור של התובעת סותרים את עצמם: ביום 3.8.2020 נרשם כי המנוח אינו גר בגפו; ביום 18.12.2023 לא נמצא הדייר כלל; וביום 3.7.2024 נערך הביקור עם בתו של המנוח וסומן "דייר ממשיך – גר: כן" – ובאותה שורה סומן גם המנוח, שנפטר חודשים קודם לכן, כמי ש"גר: כן".</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וגורם הרווחה המוסמך ביקש, בלשונו שלו, "התחשבות במצבה והימנעות מהוצאתה מהדירה בה מתגוררת מזה 30 שנה".</w:t>
      </w:r>
    </w:p>
    <w:p>
      <w:pPr>
        <w:numPr>
          <w:ilvl w:val="0"/>
          <w:numId w:val="77"/>
        </w:numPr>
        <w:bidi w:val="1"/>
        <w:spacing w:lineRule="auto" w:line="360" w:after="160" w:before="0"/>
        <w:jc w:val="both"/>
      </w:pPr>
      <w:r>
        <w:rPr>
          <w:rFonts w:ascii="David" w:hAnsi="David" w:cs="David" w:eastAsia="David" w:hint="cs"/>
          <w:b w:val="0"/>
          <w:sz w:val="24"/>
          <w:szCs w:val="24"/>
          <w:u w:val="none"/>
          <w:rtl w:val="1"/>
          <w:lang w:bidi="he-IL"/>
        </w:rPr>
        <w:t>אשר על כל המקובץ לעיל מתבקש בזאת בית המשפט הנכבד לדחות את התביעה; ולחלופין – להורות כי לא יינתן צו פינוי בטרם יובא עניינה של הנתבעת בפני הוועדה המוסמכת לבחינת מקרים חריגים, ובטרם תוסדר לה חלופת דיור הולמת; ולחלופי חלופין – לעכב את ביצוע הפינוי לתקופה משמעותית; ולחייב את התובעת בהוצאות הולמות ובשכ"ט עו"ד.</w:t>
      </w:r>
    </w:p>
    <w:p>
      <w:pPr>
        <w:keepNext w:val="1"/>
        <w:keepLines w:val="1"/>
        <w:bidi w:val="1"/>
        <w:spacing w:lineRule="auto" w:line="360" w:after="100" w:before="200"/>
        <w:jc w:val="left"/>
      </w:pPr>
      <w:r>
        <w:rPr>
          <w:rFonts w:ascii="David" w:hAnsi="David" w:cs="David" w:eastAsia="David" w:hint="cs"/>
          <w:b/>
          <w:bCs w:val="1"/>
          <w:sz w:val="24"/>
          <w:szCs w:val="24"/>
          <w:u w:val="single"/>
          <w:rtl w:val="1"/>
          <w:lang w:bidi="he-IL"/>
        </w:rPr>
        <w:t>רשימת נספחים</w:t>
      </w:r>
    </w:p>
    <w:p>
      <w:pPr>
        <w:bidi w:val="1"/>
        <w:spacing w:lineRule="auto" w:line="360" w:after="120" w:before="0"/>
        <w:ind w:left="510" w:hanging="510"/>
        <w:jc w:val="both"/>
      </w:pPr>
      <w:r>
        <w:rPr>
          <w:rFonts w:ascii="David" w:hAnsi="David" w:cs="David" w:eastAsia="David" w:hint="cs"/>
          <w:b w:val="0"/>
          <w:sz w:val="24"/>
          <w:szCs w:val="24"/>
          <w:u w:val="none"/>
          <w:rtl w:val="1"/>
          <w:lang w:bidi="he-IL"/>
        </w:rPr>
        <w:t>נספח א' – מכתב המחלקה לשירותים חברתיים "ירקון", מינהל השירותים החברתיים, עיריית פתח תקווה, מחודש יולי 2026.</w:t>
      </w:r>
    </w:p>
    <w:p>
      <w:pPr>
        <w:bidi w:val="1"/>
        <w:spacing w:lineRule="auto" w:line="360" w:after="120" w:before="0"/>
        <w:ind w:left="510" w:hanging="510"/>
        <w:jc w:val="both"/>
      </w:pPr>
      <w:r>
        <w:rPr>
          <w:rFonts w:ascii="David" w:hAnsi="David" w:cs="David" w:eastAsia="David" w:hint="cs"/>
          <w:b w:val="0"/>
          <w:sz w:val="24"/>
          <w:szCs w:val="24"/>
          <w:u w:val="none"/>
          <w:rtl w:val="1"/>
          <w:lang w:bidi="he-IL"/>
        </w:rPr>
        <w:t>נספח ב' – אישור המוסד לביטוח לאומי בדבר נכותה של הנתבעת ושיעורה. [להשלמה]</w:t>
      </w:r>
    </w:p>
    <w:p>
      <w:pPr>
        <w:bidi w:val="1"/>
        <w:spacing w:lineRule="auto" w:line="360" w:after="120" w:before="0"/>
        <w:ind w:left="510" w:hanging="510"/>
        <w:jc w:val="both"/>
      </w:pPr>
      <w:r>
        <w:rPr>
          <w:rFonts w:ascii="David" w:hAnsi="David" w:cs="David" w:eastAsia="David" w:hint="cs"/>
          <w:b w:val="0"/>
          <w:sz w:val="24"/>
          <w:szCs w:val="24"/>
          <w:u w:val="none"/>
          <w:rtl w:val="1"/>
          <w:lang w:bidi="he-IL"/>
        </w:rPr>
        <w:t>נספח ג' – ייפוי כוח מטעם הנתבעת, בהתאם לתקנה 9(ה) לתקנות סדר הדין האזרחי, התשע"ט-⁠2018.</w:t>
      </w:r>
    </w:p>
    <w:p>
      <w:pPr>
        <w:bidi w:val="1"/>
        <w:spacing w:lineRule="auto" w:line="240" w:after="40" w:before="0"/>
        <w:jc w:val="both"/>
      </w:pPr>
    </w:p>
    <w:p>
      <w:pPr>
        <w:bidi w:val="1"/>
        <w:spacing w:lineRule="auto" w:line="240" w:after="0" w:before="0"/>
        <w:jc w:val="right"/>
      </w:pPr>
      <w:r>
        <w:rPr>
          <w:rFonts w:ascii="David" w:hAnsi="David" w:cs="David" w:eastAsia="David" w:hint="cs"/>
          <w:b/>
          <w:bCs w:val="1"/>
          <w:sz w:val="24"/>
          <w:szCs w:val="24"/>
          <w:u w:val="none"/>
          <w:rtl w:val="1"/>
          <w:lang w:bidi="he-IL"/>
        </w:rPr>
        <w:t>תאריך: ______________</w:t>
      </w:r>
    </w:p>
    <w:p>
      <w:pPr>
        <w:bidi w:val="1"/>
        <w:spacing w:lineRule="auto" w:line="240" w:after="40" w:before="0"/>
        <w:jc w:val="both"/>
      </w:pPr>
    </w:p>
    <w:p>
      <w:pPr>
        <w:bidi w:val="1"/>
        <w:spacing w:lineRule="auto" w:line="240" w:after="0" w:before="0"/>
        <w:jc w:val="right"/>
      </w:pPr>
      <w:r>
        <w:rPr>
          <w:rFonts w:ascii="David" w:hAnsi="David" w:cs="David" w:eastAsia="David" w:hint="cs"/>
          <w:b w:val="0"/>
          <w:sz w:val="24"/>
          <w:szCs w:val="24"/>
          <w:u w:val="none"/>
          <w:rtl w:val="1"/>
          <w:lang w:bidi="he-IL"/>
        </w:rPr>
        <w:t>_____________________</w:t>
      </w:r>
    </w:p>
    <w:p>
      <w:pPr>
        <w:bidi w:val="1"/>
        <w:spacing w:lineRule="auto" w:line="240" w:after="0" w:before="0"/>
        <w:jc w:val="right"/>
      </w:pPr>
      <w:r>
        <w:rPr>
          <w:rFonts w:ascii="David" w:hAnsi="David" w:cs="David" w:eastAsia="David" w:hint="cs"/>
          <w:b/>
          <w:bCs w:val="1"/>
          <w:sz w:val="24"/>
          <w:szCs w:val="24"/>
          <w:u w:val="none"/>
          <w:rtl w:val="1"/>
          <w:lang w:bidi="he-IL"/>
        </w:rPr>
        <w:t>______________, עו"ד</w:t>
      </w:r>
    </w:p>
    <w:p>
      <w:pPr>
        <w:bidi w:val="1"/>
        <w:spacing w:lineRule="auto" w:line="240" w:after="0" w:before="0"/>
        <w:jc w:val="right"/>
      </w:pPr>
      <w:r>
        <w:rPr>
          <w:rFonts w:ascii="David" w:hAnsi="David" w:cs="David" w:eastAsia="David" w:hint="cs"/>
          <w:b/>
          <w:bCs w:val="1"/>
          <w:sz w:val="24"/>
          <w:szCs w:val="24"/>
          <w:u w:val="none"/>
          <w:rtl w:val="1"/>
          <w:lang w:bidi="he-IL"/>
        </w:rPr>
        <w:t>ב"כ הנתבעת</w:t>
      </w:r>
    </w:p>
    <w:p>
      <w:pPr>
        <w:bidi w:val="1"/>
        <w:spacing w:lineRule="auto" w:line="240" w:after="0" w:before="0"/>
        <w:jc w:val="right"/>
      </w:pPr>
      <w:r>
        <w:rPr>
          <w:rFonts w:ascii="David" w:hAnsi="David" w:cs="David" w:eastAsia="David" w:hint="cs"/>
          <w:b/>
          <w:bCs w:val="1"/>
          <w:sz w:val="24"/>
          <w:szCs w:val="24"/>
          <w:u w:val="none"/>
          <w:rtl w:val="1"/>
          <w:lang w:bidi="he-IL"/>
        </w:rPr>
        <w:t>[שם משרד עורכי הדין]</w:t>
      </w:r>
    </w:p>
    <w:sectPr w:rsidR="00FC693F" w:rsidRPr="0006063C" w:rsidSect="00034616">
      <w:footerReference w:type="default" r:id="rId9"/>
      <w:pgSz w:w="11906" w:h="16838"/>
      <w:pgMar w:top="850" w:right="1417" w:bottom="646" w:left="1417" w:header="720" w:footer="34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avid">
    <w:charset w:val="B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David" w:hAnsi="David" w:cs="David" w:eastAsia="David" w:hint="cs"/>
        <w:b w:val="0"/>
        <w:sz w:val="22"/>
        <w:szCs w:val="22"/>
        <w:u w:val="none"/>
        <w:rtl w:val="1"/>
        <w:lang w:bidi="he-IL"/>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7">
    <w:multiLevelType w:val="singleLevel"/>
    <w:lvl w:ilvl="0">
      <w:start w:val="1"/>
      <w:numFmt w:val="decimal"/>
      <w:suff w:val="tab"/>
      <w:lvlText w:val="%1."/>
      <w:lvlJc w:val="right"/>
      <w:pPr>
        <w:ind w:left="510" w:hanging="510"/>
      </w:pPr>
      <w:rPr>
        <w:rFonts w:cs="David" w:hint="c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bidi w:val="1"/>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David" w:hAnsi="David" w:cs="David" w:eastAsia="David" w:hint="cs"/>
      <w:sz w:val="24"/>
      <w:szCs w:val="24"/>
      <w:rtl w:val="1"/>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כתב הגנה</dc:title>
  <dc:subject/>
  <dc:creator/>
  <cp:keywords/>
  <dc:description/>
  <cp:lastModifiedBy/>
  <cp:revision>1</cp:revision>
  <dcterms:created xsi:type="dcterms:W3CDTF">2026-08-10T12:40:47Z</dcterms:created>
  <dcterms:modified xsi:type="dcterms:W3CDTF">2026-08-10T12:40:47Z</dcterms:modified>
  <cp:category/>
</cp:coreProperties>
</file>