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auto" w:line="240" w:after="40" w:before="0"/>
        <w:jc w:val="center"/>
      </w:pPr>
      <w:r>
        <w:rPr>
          <w:rFonts w:ascii="David" w:hAnsi="David" w:cs="David" w:eastAsia="David" w:hint="cs"/>
          <w:b/>
          <w:bCs w:val="1"/>
          <w:sz w:val="28"/>
          <w:szCs w:val="28"/>
          <w:u w:val="single"/>
          <w:rtl w:val="1"/>
          <w:lang w:bidi="he-IL"/>
        </w:rPr>
        <w:t>בית משפט השלום בפתח תקווה</w:t>
      </w:r>
    </w:p>
    <w:p>
      <w:pPr>
        <w:bidi w:val="1"/>
        <w:spacing w:lineRule="auto" w:line="240" w:after="160" w:before="0"/>
        <w:jc w:val="center"/>
      </w:pPr>
      <w:r>
        <w:rPr>
          <w:rFonts w:ascii="David" w:hAnsi="David" w:cs="David" w:eastAsia="David" w:hint="cs"/>
          <w:b w:val="0"/>
          <w:sz w:val="24"/>
          <w:szCs w:val="24"/>
          <w:u w:val="none"/>
          <w:rtl w:val="1"/>
          <w:lang w:bidi="he-IL"/>
        </w:rPr>
        <w:t>מחוז מרכז        ת"א ______________</w:t>
      </w:r>
    </w:p>
    <w:p>
      <w:pPr>
        <w:bidi w:val="1"/>
        <w:spacing w:lineRule="auto" w:line="240" w:after="40" w:before="0"/>
        <w:jc w:val="both"/>
      </w:pPr>
    </w:p>
    <w:p>
      <w:pPr>
        <w:bidi w:val="1"/>
        <w:spacing w:lineRule="auto" w:line="240" w:after="80" w:before="0"/>
        <w:jc w:val="left"/>
      </w:pPr>
      <w:r>
        <w:rPr>
          <w:rFonts w:ascii="David" w:hAnsi="David" w:cs="David" w:eastAsia="David" w:hint="cs"/>
          <w:b/>
          <w:bCs w:val="1"/>
          <w:sz w:val="24"/>
          <w:szCs w:val="24"/>
          <w:u w:val="single"/>
          <w:rtl w:val="1"/>
          <w:lang w:bidi="he-IL"/>
        </w:rPr>
        <w:t>בעניין:</w:t>
      </w:r>
    </w:p>
    <w:p>
      <w:pPr>
        <w:bidi w:val="1"/>
        <w:spacing w:lineRule="auto" w:line="240" w:after="0" w:before="0"/>
        <w:ind w:left="850"/>
        <w:jc w:val="left"/>
      </w:pPr>
      <w:r>
        <w:rPr>
          <w:rFonts w:ascii="David" w:hAnsi="David" w:cs="David" w:eastAsia="David" w:hint="cs"/>
          <w:b/>
          <w:bCs w:val="1"/>
          <w:sz w:val="24"/>
          <w:szCs w:val="24"/>
          <w:u w:val="none"/>
          <w:rtl w:val="1"/>
          <w:lang w:bidi="he-IL"/>
        </w:rPr>
        <w:t>עמידר החברה הלאומית לשיכון בישראל בע"מ, ח.פ. 520017393</w:t>
      </w:r>
    </w:p>
    <w:p>
      <w:pPr>
        <w:bidi w:val="1"/>
        <w:spacing w:lineRule="auto" w:line="240" w:after="0" w:before="0"/>
        <w:ind w:left="850"/>
        <w:jc w:val="left"/>
      </w:pPr>
      <w:r>
        <w:rPr>
          <w:rFonts w:ascii="David" w:hAnsi="David" w:cs="David" w:eastAsia="David" w:hint="cs"/>
          <w:b w:val="0"/>
          <w:sz w:val="24"/>
          <w:szCs w:val="24"/>
          <w:u w:val="none"/>
          <w:rtl w:val="1"/>
          <w:lang w:bidi="he-IL"/>
        </w:rPr>
        <w:t>ע"י ב"כ עוה"ד ליאור סיגון (מ.ר. 57413) ו/או ג'וזף דוד ואח'</w:t>
      </w:r>
    </w:p>
    <w:p>
      <w:pPr>
        <w:bidi w:val="1"/>
        <w:spacing w:lineRule="auto" w:line="240" w:after="0" w:before="0"/>
        <w:ind w:left="850"/>
        <w:jc w:val="left"/>
      </w:pPr>
      <w:r>
        <w:rPr>
          <w:rFonts w:ascii="David" w:hAnsi="David" w:cs="David" w:eastAsia="David" w:hint="cs"/>
          <w:b w:val="0"/>
          <w:sz w:val="24"/>
          <w:szCs w:val="24"/>
          <w:u w:val="none"/>
          <w:rtl w:val="1"/>
          <w:lang w:bidi="he-IL"/>
        </w:rPr>
        <w:t>מרח' מצדה 9, מגדל ב.ס.ר 3, קומה 6; טל': 03-9451451</w:t>
      </w:r>
    </w:p>
    <w:p>
      <w:pPr>
        <w:bidi w:val="1"/>
        <w:spacing w:lineRule="auto" w:line="240" w:after="80" w:before="0"/>
        <w:jc w:val="right"/>
      </w:pPr>
      <w:r>
        <w:rPr>
          <w:rFonts w:ascii="David" w:hAnsi="David" w:cs="David" w:eastAsia="David" w:hint="cs"/>
          <w:b/>
          <w:bCs w:val="1"/>
          <w:sz w:val="24"/>
          <w:szCs w:val="24"/>
          <w:u w:val="single"/>
          <w:rtl w:val="1"/>
          <w:lang w:bidi="he-IL"/>
        </w:rPr>
        <w:t>התובעת;</w:t>
      </w:r>
    </w:p>
    <w:p>
      <w:pPr>
        <w:bidi w:val="1"/>
        <w:spacing w:lineRule="auto" w:line="240" w:after="80" w:before="0"/>
        <w:jc w:val="center"/>
      </w:pPr>
      <w:r>
        <w:rPr>
          <w:rFonts w:ascii="David" w:hAnsi="David" w:cs="David" w:eastAsia="David" w:hint="cs"/>
          <w:b/>
          <w:bCs w:val="1"/>
          <w:sz w:val="24"/>
          <w:szCs w:val="24"/>
          <w:u w:val="none"/>
          <w:rtl w:val="1"/>
          <w:lang w:bidi="he-IL"/>
        </w:rPr>
        <w:t>- נ ג ד -</w:t>
      </w:r>
    </w:p>
    <w:p>
      <w:pPr>
        <w:bidi w:val="1"/>
        <w:spacing w:lineRule="auto" w:line="240" w:after="0" w:before="0"/>
        <w:ind w:left="850"/>
        <w:jc w:val="left"/>
      </w:pPr>
      <w:r>
        <w:rPr>
          <w:rFonts w:ascii="David" w:hAnsi="David" w:cs="David" w:eastAsia="David" w:hint="cs"/>
          <w:b/>
          <w:bCs w:val="1"/>
          <w:sz w:val="24"/>
          <w:szCs w:val="24"/>
          <w:u w:val="none"/>
          <w:rtl w:val="1"/>
          <w:lang w:bidi="he-IL"/>
        </w:rPr>
        <w:t>טדילה וונדימאג'ן, ת.⁠ז.⁠ 303214373</w:t>
      </w:r>
    </w:p>
    <w:p>
      <w:pPr>
        <w:bidi w:val="1"/>
        <w:spacing w:lineRule="auto" w:line="240" w:after="0" w:before="0"/>
        <w:ind w:left="850"/>
        <w:jc w:val="left"/>
      </w:pPr>
      <w:r>
        <w:rPr>
          <w:rFonts w:ascii="David" w:hAnsi="David" w:cs="David" w:eastAsia="David" w:hint="cs"/>
          <w:b w:val="0"/>
          <w:sz w:val="24"/>
          <w:szCs w:val="24"/>
          <w:u w:val="none"/>
          <w:rtl w:val="1"/>
          <w:lang w:bidi="he-IL"/>
        </w:rPr>
        <w:t>מרח' צה"ל 72/6, פתח תקווה</w:t>
      </w:r>
    </w:p>
    <w:p>
      <w:pPr>
        <w:bidi w:val="1"/>
        <w:spacing w:lineRule="auto" w:line="240" w:after="0" w:before="0"/>
        <w:ind w:left="850"/>
        <w:jc w:val="left"/>
      </w:pPr>
      <w:r>
        <w:rPr>
          <w:rFonts w:ascii="David" w:hAnsi="David" w:cs="David" w:eastAsia="David" w:hint="cs"/>
          <w:b w:val="0"/>
          <w:sz w:val="24"/>
          <w:szCs w:val="24"/>
          <w:u w:val="none"/>
          <w:rtl w:val="1"/>
          <w:lang w:bidi="he-IL"/>
        </w:rPr>
        <w:t>ע"י ב"כ עו"ד ______________, מ.ר. __________</w:t>
      </w:r>
    </w:p>
    <w:p>
      <w:pPr>
        <w:bidi w:val="1"/>
        <w:spacing w:lineRule="auto" w:line="240" w:after="0" w:before="0"/>
        <w:ind w:left="850"/>
        <w:jc w:val="left"/>
      </w:pPr>
      <w:r>
        <w:rPr>
          <w:rFonts w:ascii="David" w:hAnsi="David" w:cs="David" w:eastAsia="David" w:hint="cs"/>
          <w:b w:val="0"/>
          <w:sz w:val="24"/>
          <w:szCs w:val="24"/>
          <w:u w:val="none"/>
          <w:rtl w:val="1"/>
          <w:lang w:bidi="he-IL"/>
        </w:rPr>
        <w:t>מרח' ______________; טל': __________; דוא"ל: ______________</w:t>
      </w:r>
    </w:p>
    <w:p>
      <w:pPr>
        <w:bidi w:val="1"/>
        <w:spacing w:lineRule="auto" w:line="240" w:after="80" w:before="0"/>
        <w:jc w:val="right"/>
      </w:pPr>
      <w:r>
        <w:rPr>
          <w:rFonts w:ascii="David" w:hAnsi="David" w:cs="David" w:eastAsia="David" w:hint="cs"/>
          <w:b/>
          <w:bCs w:val="1"/>
          <w:sz w:val="24"/>
          <w:szCs w:val="24"/>
          <w:u w:val="single"/>
          <w:rtl w:val="1"/>
          <w:lang w:bidi="he-IL"/>
        </w:rPr>
        <w:t>הנתבעת;</w:t>
      </w:r>
    </w:p>
    <w:p>
      <w:pPr>
        <w:bidi w:val="1"/>
        <w:spacing w:lineRule="auto" w:line="240" w:after="40" w:before="0"/>
        <w:jc w:val="both"/>
      </w:pPr>
    </w:p>
    <w:p>
      <w:pPr>
        <w:bidi w:val="1"/>
        <w:spacing w:lineRule="auto" w:line="240" w:after="80" w:before="0"/>
        <w:jc w:val="left"/>
      </w:pPr>
      <w:r>
        <w:rPr>
          <w:rFonts w:ascii="David" w:hAnsi="David" w:cs="David" w:eastAsia="David" w:hint="cs"/>
          <w:b w:val="0"/>
          <w:sz w:val="24"/>
          <w:szCs w:val="24"/>
          <w:u w:val="none"/>
          <w:rtl w:val="1"/>
          <w:lang w:bidi="he-IL"/>
        </w:rPr>
        <w:t>דבר קיומו של הליך נוסף בקשר למסכת עובדתית דומה שהנתבעת צד לו או היתה צד לו: אין.</w:t>
      </w:r>
    </w:p>
    <w:p>
      <w:pPr>
        <w:bidi w:val="1"/>
        <w:spacing w:lineRule="auto" w:line="240" w:after="80" w:before="0"/>
        <w:jc w:val="left"/>
      </w:pPr>
      <w:r>
        <w:rPr>
          <w:rFonts w:ascii="David" w:hAnsi="David" w:cs="David" w:eastAsia="David" w:hint="cs"/>
          <w:b w:val="0"/>
          <w:sz w:val="24"/>
          <w:szCs w:val="24"/>
          <w:u w:val="none"/>
          <w:rtl w:val="1"/>
          <w:lang w:bidi="he-IL"/>
        </w:rPr>
        <w:t>מועד המצאת כתב התביעה לנתבעת: יום __________. המועד האחרון להגשת כתב ההגנה לפי תקנה 30: יום __________.</w:t>
      </w:r>
    </w:p>
    <w:p>
      <w:pPr>
        <w:bidi w:val="1"/>
        <w:spacing w:lineRule="auto" w:line="240" w:after="200" w:before="200"/>
        <w:jc w:val="center"/>
      </w:pPr>
      <w:r>
        <w:rPr>
          <w:rFonts w:ascii="David" w:hAnsi="David" w:cs="David" w:eastAsia="David" w:hint="cs"/>
          <w:b/>
          <w:bCs w:val="1"/>
          <w:sz w:val="32"/>
          <w:szCs w:val="32"/>
          <w:u w:val="single"/>
          <w:rtl w:val="1"/>
          <w:lang w:bidi="he-IL"/>
        </w:rPr>
        <w:t>כתב הגנה</w:t>
      </w:r>
    </w:p>
    <w:p>
      <w:pPr>
        <w:bidi w:val="1"/>
        <w:spacing w:lineRule="auto" w:line="360" w:after="120" w:before="0"/>
        <w:jc w:val="both"/>
      </w:pPr>
      <w:r>
        <w:rPr>
          <w:rFonts w:ascii="David" w:hAnsi="David" w:cs="David" w:eastAsia="David" w:hint="cs"/>
          <w:b w:val="0"/>
          <w:sz w:val="24"/>
          <w:szCs w:val="24"/>
          <w:u w:val="none"/>
          <w:rtl w:val="1"/>
          <w:lang w:bidi="he-IL"/>
        </w:rPr>
        <w:t>הנתבעת מתכבדת להגיש כתב הגנה מטעמה. כל הטענות הנטענות בכתב התביעה מוכחשות, למעט אם צוין במפורש אחרת. בכתב הגנה זה: "הדירה" היא הדירה ברח' צה"ל 72/6, פתח תקווה; "המנוח" הוא מר מנבר וונדימאג'ן ז"ל, אביה של הנתבעת ובעל החוזה; "טופסי הביקור" הם הטפסים שבנספח 2; ו"הפרוטוקול" הוא המסמך שבנספח 4.</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שני: עיקר הטענות</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טענות מקדמיות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מתגוררת בדירה מאז ילדותה. אביה, בעל החוזה, הלך לעולמו ביום 16.2.2024, והתובעת עותרת לסלקה מן הדירה בטענה כי "פלשה" אליה. טענה זו אינה מתיישבת עם מסמכי התובעת עצמה. הסעד המבוקש נשען כל כולו על החלטה מנהלית אחת, היא החלטת ועדת הלגליזציה מיום 2.9.2024, הלוקה בשלושה פגמים שכל אחד מהם עומד בפני עצמו.</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ראשית, הוחל מבחן מחמיר מזה שקבע המחוקק. על גבי הפרוטוקול מודפסת הדרישה לביקורי מעגל לדייר הממשיך "מתאריך 1.8.09 ועד מועד הבקשה </w:t>
      </w:r>
      <w:r>
        <w:rPr>
          <w:rFonts w:ascii="David" w:hAnsi="David" w:cs="David" w:eastAsia="David" w:hint="cs"/>
          <w:b/>
          <w:bCs w:val="1"/>
          <w:sz w:val="24"/>
          <w:szCs w:val="24"/>
          <w:u w:val="single"/>
          <w:rtl w:val="1"/>
          <w:lang w:bidi="he-IL"/>
        </w:rPr>
        <w:t>ולא פחות מ-4 שנות מגורים רצופות</w:t>
      </w:r>
      <w:r>
        <w:rPr>
          <w:rFonts w:ascii="David" w:hAnsi="David" w:cs="David" w:eastAsia="David" w:hint="cs"/>
          <w:b w:val="0"/>
          <w:sz w:val="24"/>
          <w:szCs w:val="24"/>
          <w:u w:val="none"/>
          <w:rtl w:val="1"/>
          <w:lang w:bidi="he-IL"/>
        </w:rPr>
        <w:t>". סעיף 1 לחוק זכויות הדייר בדיור הציבורי, התשנ"ח-1998, נוקב בשלוש שנים בסמוך למועד הפטירה. רשות המחילה על אדם מבחן מחמיר מזה שקבע המחוקק, החלטתה אינה יכולה לעמוד.</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שנית, תבחיני הזכאות לא נבדקו כלל. בפרוטוקול קבועה טבלה שבה נדרש סגן מנהל מרכז השירות לציין את ממצאיו בסעיפי "חסר דירה", "מומש סיוע בשכ"ד", "כתובות" ו"גבולות". הטבלה נותרה, בכל שורותיה, ללא כל סימון; שם סגן המנהל וחתימתו נותרו ריקים אף הם. משכך, הקביעה שבסעיף 19 לכתב התביעה, ולפיה לא עמדה הנתבעת בנטל התבחינים המצטברים, אינה קביעה. </w:t>
      </w:r>
      <w:r>
        <w:rPr>
          <w:rFonts w:ascii="David" w:hAnsi="David" w:cs="David" w:eastAsia="David" w:hint="cs"/>
          <w:b/>
          <w:bCs w:val="1"/>
          <w:sz w:val="24"/>
          <w:szCs w:val="24"/>
          <w:u w:val="single"/>
          <w:rtl w:val="1"/>
          <w:lang w:bidi="he-IL"/>
        </w:rPr>
        <w:t>התובעת מעולם לא בדקה את התבחינים שעל יסודם היא דוחה את הבקשה</w:t>
      </w:r>
      <w:r>
        <w:rPr>
          <w:rFonts w:ascii="David" w:hAnsi="David" w:cs="David" w:eastAsia="David" w:hint="cs"/>
          <w:b w:val="0"/>
          <w:sz w:val="24"/>
          <w:szCs w:val="24"/>
          <w:u w:val="none"/>
          <w:rtl w:val="1"/>
          <w:lang w:bidi="he-IL"/>
        </w:rPr>
        <w:t>.</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שלישית, לא נערך שימוע, לא מולא שדה הנימוקים ולא בוצעה המצאה. אין בפרוטוקול זכר לכך שהנתבעת זומנה, נשמעה או יוצגה. השדה "נימוקים והמלצות" נותר ריק כליל, וכל שנרשם תחת "החלטת הוועדה המחוזית" הן שתי שורות בכתב יד, שאינן מתייחסות לאיזה מן התבחינים. לא הוצגה כל ראיה כי ההחלטה הומצאה לנתבעת או כי הועמדה על זכותה להשיג עליה. החלטה מנהלית הפוגעת בזכות לקורת גג, שהתקבלה כך, בטלה, ובית המשפט הנכבד מתבקש לקבוע כן בדרך של תקיפה עקיפה.</w:t>
      </w:r>
    </w:p>
    <w:p>
      <w:pPr>
        <w:keepNext w:val="1"/>
        <w:keepLines w:val="1"/>
        <w:bidi w:val="1"/>
        <w:spacing w:lineRule="auto" w:line="360" w:after="80" w:before="120"/>
        <w:jc w:val="left"/>
      </w:pPr>
      <w:r>
        <w:rPr>
          <w:rFonts w:ascii="David" w:hAnsi="David" w:cs="David" w:eastAsia="David" w:hint="cs"/>
          <w:b/>
          <w:bCs w:val="1"/>
          <w:sz w:val="24"/>
          <w:szCs w:val="24"/>
          <w:u w:val="single"/>
          <w:rtl w:val="1"/>
          <w:lang w:bidi="he-IL"/>
        </w:rPr>
        <w:t>היעדר עילה: הנתבעת אינה "פולשת"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מי שהתגוררה בדירה מכוח רשות, ונותרה בה לאחר פטירת בעל החוזה, אינה "פולשת"; לכל היותר עסקינן בבת-רשות שרישיונה פקע, על כל המשתמע מכך לעניין הסעד ולעניין שיקולי הצדק. יצוין כי בטופסי "בדיקת אכלוס וגבייה" מצויה משבצת שכותרתה "חשש לנטישה/נטישה/פלישה", ובאף אחד מהם לא הוקף סימון; וכי התובעת הוסיפה לנהל את חשבון הדירה כחשבון פעיל ולזקוף הנחת מדרוג שתוקפה עד ליום 30.9.2024, חודשים לאחר הפטירה.</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תמצית טענות ההגנה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ראשית, ובניגוד לנטען בסעיפים 9 ו-15 לכתב התביעה, הנתבעת לא פלשה לדירה ולא תפסה בה חזקה עם פטירת המנוח. היא התגוררה בה עמו שנים ארוכות עובר לפטירתו, ובכללן שלוש השנים שקדמו לה, ומוסיפה להתגורר בה. הדירה היא ביתה היחיד ואין לה דירה אחרת. משכך, ובניגוד לנטען בסעיפים 10, 18 ו-19, היא בתו של הזכאי ובאה בגדר "דייר ממשיך" כהגדרתו בסעיף 1 לחוק.</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שנית, ובניגוד לנטען בסעיף 16, אין בטופסי הביקור ובהצהרות המנוח כדי לבסס את התביעה: הטפסים סותרים זה את זה, וההצהרות הן טפסים אחידים שנוסחו בידי התובעת ונחתמו בידי המנוח, לא בידי הנתבעת. הפירוט בחלק השלישי להלן. שלישית, המחלקה לשירותים חברתיים בעיריית פתח תקווה ביקשה בכתב להימנע מהוצאת הנתבעת מן הדירה; ואף אם ייקבע כי אין היא באה בגדר "דייר ממשיך" (ואין זה המצב), מחייבות נסיבותיה בחינה בפני הוועדה המוסמכת לבחינת מקרים חריגים בטרם יינתן סעד של פינוי.</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טיעונים לעניין הסעד המבוקש</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דין התביעה להידחות. סילוק יד הוא סעד שבשיקול דעת, ואין להיעתר לו שעה שהתובעת היא רשות ציבורית שראיותיה סותרות את טענותיה, שהחילה מבחן מחמיר מזה שבדין, שלא בדקה את התבחינים ולא קיימה שימוע.</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לחלופין, מתבקש בית המשפט הנכבד להורות כי לא יינתן צו פינוי בטרם יובא עניינה של הנתבעת בפני הוועדה המוסמכת לבחינת מקרים חריגים, ובטרם תוסדר לה חלופת דיור הולמת. פינוי אישה נכה בשיעור 100% מביתה היחיד אינו עולה בקנה אחד עם חוק-יסוד: כבוד האדם וחירותו ועם תכליתו של חוק זכויות הדייר בדיור הציבורי. ולחלופי חלופין, לעכב את ביצוע הפינוי לתקופה משמעותית. אשר לעתירה להוצאות מוגברות, דינה להידחות.</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שלישי: טיעון עובדתי</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הרקע העובדתי</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בשנת 1996 נחתם בין התובעת לבין המנוח חוזה שכירות ביחס לדירה, ויום 8.8.1996 נקוב בו כתאריך מסירת החזקה המשוער, והוא גם התאריך המודפס בשדה "תאריך אכלוס" בכל אחד מטופסי הביקור. המנוח, יליד 1943, עלה לישראל מאתיופיה בשנת 1991. הוא הלך לעולמו ביום 16.2.2024, ותעודת הפטירה שצורפה כנספח 3 נשלחה, לפי הרשום על גביה, אל הנתבעת בכתובת הדירה. הנתבעת התגוררה בדירה עם אביה שנים ארוכות עובר לפטירתו, ובכללן שלוש השנים שקדמו לה, ומוסיפה להתגורר בה.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לביסוס מגוריה בדירה תסתמך הנתבעת, בין היתר, על עדויות שכנים המתגוררים באותו בניין ומכירים אותה ואת המנוח מזה שנים רבות: פוזנטל עודד, ת.⁠ז.⁠ 057588110, ויואב אנניה, ת.⁠ז.⁠ 303256789. אלה יעידו כי הנתבעת התגוררה בדירה עם אביה ברציפות, לרבות בשלוש השנים שקדמו לפטירתו.</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טופסי הביקור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התובעת סומכת את תביעתה על טופסי הביקור. אלו טפסים שמילאו נציגיה לצרכיה, והם סותרים זה את זה. בטופס מיום 3.8.2020 נרשם בשדה "גר/ה בגפו/ה": "לא". זהו רישום של התובעת עצמה, בזמן אמת, ולפיו המנוח לא התגורר בדירה לבדו. ובטופס מיום 18.12.2023, האחרון בחיי המנוח, נרשם: "נקבע מספר פעמים ביקור בית, הדייר אומר אני אהיה בבית, לא נמצא"; ביקור שבו לא נמצא הדייר אינו יכול ללמד על זהות המתגוררים בדירה, וחרף זאת הוטבעה עליו חותמת "מסרב לחתום".</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בטופס מיום 3.7.2024, הביקור היחיד שנערך לאחר הפטירה, נרשם בשדה ההערות: "דייר חוזי נפטר , ביקור עם הבת עדן טדלה" [כך במקור]. בהתאם לכך סומן בטבלה שבפרוטוקול, בשורת אותו ביקור, כי דייר ממשיך מתגורר בדירה; ובאותה שורה עצמה סומן כי גם הדייר החוזי מתגורר בה, אדם שנפטר ארבעה חודשים וחצי קודם לכן. הנתבעת תטען כי תהא זהות הבת אשר תהא, רישום זה נטול ערך ראייתי בשני מובניו.</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הצהרות המנוח</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אינה מכחישה את קיומן של ההצהרות, אך תטען כי משקלן אפסי. אלו טפסים אחידים, שבחלקם נוסח ההצהרה הוא "אני/ו גר/ה/ים לבדי/נו בדירה", והחלופות מעולם לא נמחקו. הן נגבו אגב ביקורי הגבייה, שבהם נקבעה גם הנחת המדרוג שבה היה המנוח תלוי; ובטופס משנת 2010 נרשם כי הביקור נערך באמהרית, ושדה "נכח מתורגם" נותר ריק.</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אשר לתניה שלפיה ההצהרה "לא תאפשר לקרובי לטעון כי גרו איתי בדירה... כדי להיחשב 'דיירים ממשיכים'": תניה שנוסחה בידי רשות ציבורית על גבי טופס אחיד, שתכליתה לשלול מראש זכות סטטוטורית מצד שלישי שאינו חתום עליה, אינה יכולה לעמוד, ולו מטעמי תקנת הציבור שבסעיף 30 לחוק החוזים (חלק כללי), התשל"ג-1973. זכות הדייר הממשיך אינה קניינו של המנוח כדי שיוותר עליה בשם בתו.</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מכתב גורם הרווחה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בחודש יולי 2026 פנתה המחלקה לשירותים חברתיים "ירקון" שבעיריית פתח תקווה במכתב שעניינו הנתבעת, המצ"ב ומסומן כנספח א'. במכתב נמסר כי הנתבעת "היתה מוכרת ברווחה לאורך שנים", וכי היא "בת 42 רווקה ללא ילדים מתמודדת עם נכות נפשית ופיברומיאלגיה, אינה עובדת ומקבלת קיצבה 100% נכות מביטוח לאומי". בסיפתו נאמר: "לאור זאת, נודה על כל התחשבות במצבה </w:t>
      </w:r>
      <w:r>
        <w:rPr>
          <w:rFonts w:ascii="David" w:hAnsi="David" w:cs="David" w:eastAsia="David" w:hint="cs"/>
          <w:b/>
          <w:bCs w:val="1"/>
          <w:sz w:val="24"/>
          <w:szCs w:val="24"/>
          <w:u w:val="single"/>
          <w:rtl w:val="1"/>
          <w:lang w:bidi="he-IL"/>
        </w:rPr>
        <w:t>והימנעות מהוצאתה מהדירה בה מתגוררת מזה 30 שנה</w:t>
      </w:r>
      <w:r>
        <w:rPr>
          <w:rFonts w:ascii="David" w:hAnsi="David" w:cs="David" w:eastAsia="David" w:hint="cs"/>
          <w:b w:val="0"/>
          <w:sz w:val="24"/>
          <w:szCs w:val="24"/>
          <w:u w:val="none"/>
          <w:rtl w:val="1"/>
          <w:lang w:bidi="he-IL"/>
        </w:rPr>
        <w:t>" [ההדגשה של הח"מ]. התובעת קיבלה את החלטתה מבלי שפנתה לגורמי הרווחה; ומשנשלח המכתב לאחר מתן ההחלטה, קמה חובה לשוב ולבחון את העניין לאורו.</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התייחסות לטענות כתב התביעה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1, 5, 6, 7, 13 ו-17 אינו מוכחש. הנטען בסעיפים 8 ו-14 אינו מוכחש, למעט המילה "בעבר", ובכפוף לסעיף 2(ז) לחוזה, המתנה את סיום השכירות בהודעה בכתב שישים יום מראש. הודעה כאמור לא צורפה ולא נטענה.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2, 9 ו-15 מוכחש מכל וכל: הנתבעת אינה פולשת ואינה מחזיקה בדירה שלא כדין. הנטען בסעיפים 3, 4, 23 ו-24 מוכחש; אין התובעת זכאית לסעד כלשהו, וממילא לא להוצאות מוגברות.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בסעיף 10 מוכחש: הגוף שדן בעניינה של הנתבעת הוא ועדה פנימית של התובעת, שלא שמעה אותה ולא בחנה את התבחינים. ביחס לסעיף 18: אין הכחשה לעצם קיומו של המסמך שבנספח 4, שתוכנו מדבר בעד עצמו, ומוכחש כי המדובר בהחלטה שנתקבלה כדין. הנטען בסעיפים 16 ו-19 מוכחש: אין הכחשה לקיומם של הטפסים וההצהרות, אך תוכנם, משקלם והמסקנה המבוקשת מהם מוכחשים כמפורט לעיל. הנטען בסעיף 11 מוכחש; לא צורפה ולו דרישת פינוי אחת. סעיפים 12 ו-20 אינם טענות שבעובדה ואינם טעונים הכחשה. הנטען בסעיפים 21 ו-22 מוכחש.</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סוף דבר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אשר על כן מתבקש בית המשפט הנכבד לדחות את התביעה; ולחלופין, להורות כי לא יינתן צו פינוי בטרם יובא עניינה של הנתבעת בפני הוועדה המוסמכת לבחינת מקרים חריגים ובטרם תוסדר לה חלופת דיור הולמת; ולחלופי חלופין, לעכב את ביצוע הפינוי לתקופה משמעותית; ולחייב את התובעת בהוצאות ובשכ"ט עו"ד.</w:t>
      </w:r>
    </w:p>
    <w:p>
      <w:pPr>
        <w:keepNext w:val="1"/>
        <w:keepLines w:val="1"/>
        <w:bidi w:val="1"/>
        <w:spacing w:lineRule="auto" w:line="360" w:after="80" w:before="160"/>
        <w:jc w:val="left"/>
      </w:pPr>
      <w:r>
        <w:rPr>
          <w:rFonts w:ascii="David" w:hAnsi="David" w:cs="David" w:eastAsia="David" w:hint="cs"/>
          <w:b/>
          <w:bCs w:val="1"/>
          <w:sz w:val="24"/>
          <w:szCs w:val="24"/>
          <w:u w:val="single"/>
          <w:rtl w:val="1"/>
          <w:lang w:bidi="he-IL"/>
        </w:rPr>
        <w:t>רשימת נספחים</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א': מכתב המחלקה לשירותים חברתיים, עיריית פתח תקווה, יולי 2026.</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ב': אישור ביטוח לאומי בדבר נכות הנתבעת. [להשלמה]</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ג': ייפוי כוח מטעם הנתבעת, לפי תקנה 9(ה).</w:t>
      </w:r>
    </w:p>
    <w:p>
      <w:pPr>
        <w:bidi w:val="1"/>
        <w:spacing w:lineRule="auto" w:line="240" w:after="0" w:before="0"/>
        <w:jc w:val="right"/>
      </w:pPr>
      <w:r>
        <w:rPr>
          <w:rFonts w:ascii="David" w:hAnsi="David" w:cs="David" w:eastAsia="David" w:hint="cs"/>
          <w:b/>
          <w:bCs w:val="1"/>
          <w:sz w:val="24"/>
          <w:szCs w:val="24"/>
          <w:u w:val="none"/>
          <w:rtl w:val="1"/>
          <w:lang w:bidi="he-IL"/>
        </w:rPr>
        <w:t>תאריך: ______________</w:t>
      </w:r>
    </w:p>
    <w:p>
      <w:pPr>
        <w:bidi w:val="1"/>
        <w:spacing w:lineRule="auto" w:line="240" w:after="0" w:before="0"/>
        <w:jc w:val="right"/>
      </w:pPr>
      <w:r>
        <w:rPr>
          <w:rFonts w:ascii="David" w:hAnsi="David" w:cs="David" w:eastAsia="David" w:hint="cs"/>
          <w:b w:val="0"/>
          <w:sz w:val="24"/>
          <w:szCs w:val="24"/>
          <w:u w:val="none"/>
          <w:rtl w:val="1"/>
          <w:lang w:bidi="he-IL"/>
        </w:rPr>
        <w:t>_____________________</w:t>
      </w:r>
    </w:p>
    <w:p>
      <w:pPr>
        <w:bidi w:val="1"/>
        <w:spacing w:lineRule="auto" w:line="240" w:after="0" w:before="0"/>
        <w:jc w:val="right"/>
      </w:pPr>
      <w:r>
        <w:rPr>
          <w:rFonts w:ascii="David" w:hAnsi="David" w:cs="David" w:eastAsia="David" w:hint="cs"/>
          <w:b/>
          <w:bCs w:val="1"/>
          <w:sz w:val="24"/>
          <w:szCs w:val="24"/>
          <w:u w:val="none"/>
          <w:rtl w:val="1"/>
          <w:lang w:bidi="he-IL"/>
        </w:rPr>
        <w:t>______________, עו"ד</w:t>
      </w:r>
    </w:p>
    <w:p>
      <w:pPr>
        <w:bidi w:val="1"/>
        <w:spacing w:lineRule="auto" w:line="240" w:after="0" w:before="0"/>
        <w:jc w:val="right"/>
      </w:pPr>
      <w:r>
        <w:rPr>
          <w:rFonts w:ascii="David" w:hAnsi="David" w:cs="David" w:eastAsia="David" w:hint="cs"/>
          <w:b/>
          <w:bCs w:val="1"/>
          <w:sz w:val="24"/>
          <w:szCs w:val="24"/>
          <w:u w:val="none"/>
          <w:rtl w:val="1"/>
          <w:lang w:bidi="he-IL"/>
        </w:rPr>
        <w:t>ב"כ הנתבעת</w:t>
      </w:r>
    </w:p>
    <w:sectPr w:rsidR="00FC693F" w:rsidRPr="0006063C" w:rsidSect="00034616">
      <w:footerReference w:type="default" r:id="rId9"/>
      <w:pgSz w:w="11906" w:h="16838"/>
      <w:pgMar w:top="850" w:right="1417" w:bottom="646" w:left="1417" w:header="720" w:footer="34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David">
    <w:charset w:val="B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eastAsia="David" w:hint="cs"/>
        <w:b w:val="0"/>
        <w:sz w:val="22"/>
        <w:szCs w:val="22"/>
        <w:u w:val="none"/>
        <w:rtl w:val="1"/>
        <w:lang w:bidi="he-IL"/>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singleLevel"/>
    <w:lvl w:ilvl="0">
      <w:start w:val="1"/>
      <w:numFmt w:val="decimal"/>
      <w:suff w:val="tab"/>
      <w:lvlText w:val="%1."/>
      <w:lvlJc w:val="right"/>
      <w:pPr>
        <w:ind w:left="510" w:hanging="510"/>
      </w:pPr>
      <w:rPr>
        <w:rFonts w:cs="David" w:hint="c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he-IL"/>
      </w:rPr>
    </w:rPrDefault>
    <w:pPrDefault>
      <w:pPr>
        <w:bidi w:val="1"/>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eastAsia="David" w:hint="cs"/>
      <w:sz w:val="24"/>
      <w:szCs w:val="24"/>
      <w:rtl w:val="1"/>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הגנה</dc:title>
  <dc:subject/>
  <dc:creator/>
  <cp:keywords/>
  <dc:description/>
  <cp:lastModifiedBy/>
  <cp:revision>1</cp:revision>
  <dcterms:created xsi:type="dcterms:W3CDTF">2026-08-31T08:20:06Z</dcterms:created>
  <dcterms:modified xsi:type="dcterms:W3CDTF">2026-08-31T08:20:06Z</dcterms:modified>
  <cp:category/>
</cp:coreProperties>
</file>