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לשכת ההוצאה לפועל</w:t>
            </w:r>
          </w:p>
          <w:p>
            <w:pPr>
              <w:bidi/>
              <w:spacing w:after="40"/>
              <w:jc w:val="start"/>
            </w:pPr>
            <w:r>
              <w:rPr>
                <w:rFonts w:ascii="David" w:cs="David" w:eastAsia="David" w:hAnsi="David"/>
                <w:b/>
                <w:bCs/>
                <w:sz w:val="24"/>
                <w:szCs w:val="24"/>
                <w:rtl/>
              </w:rPr>
              <w:t xml:space="preserve">מסלול מזונות, מחוז מרכז</w:t>
            </w:r>
          </w:p>
          <w:p>
            <w:pPr>
              <w:bidi/>
              <w:spacing w:after="40"/>
              <w:jc w:val="start"/>
            </w:pPr>
            <w:r>
              <w:rPr>
                <w:rFonts w:ascii="David" w:cs="David" w:eastAsia="David" w:hAnsi="David"/>
                <w:sz w:val="24"/>
                <w:szCs w:val="24"/>
                <w:rtl/>
              </w:rPr>
              <w:t xml:space="preserve">דרך השרון 12, כפר סבא</w:t>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תיק מס' 542780-03-25</w:t>
            </w:r>
          </w:p>
          <w:p>
            <w:pPr>
              <w:bidi/>
              <w:spacing w:after="40"/>
              <w:jc w:val="end"/>
            </w:pPr>
            <w:r>
              <w:rPr>
                <w:rFonts w:ascii="David" w:cs="David" w:eastAsia="David" w:hAnsi="David"/>
                <w:sz w:val="24"/>
                <w:szCs w:val="24"/>
                <w:rtl/>
              </w:rPr>
              <w:t xml:space="preserve">בפני כב' הרשמת מרים סגל</w:t>
            </w:r>
          </w:p>
        </w:tc>
      </w:tr>
    </w:tbl>
    <w:p>
      <w:pPr>
        <w:bidi/>
        <w:spacing w:after="120" w:line="360" w:lineRule="auto"/>
        <w:jc w:val="both"/>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6804"/>
        <w:gridCol w:w="2268"/>
      </w:tblGrid>
      <w:tr>
        <w:tc>
          <w:tcPr>
            <w:tcW w:type="dxa" w:w="6804"/>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באביי בילילין, ת"ז 328811385</w:t>
            </w:r>
          </w:p>
          <w:p>
            <w:pPr>
              <w:bidi/>
              <w:spacing w:after="40"/>
              <w:jc w:val="start"/>
            </w:pPr>
            <w:r>
              <w:rPr>
                <w:rFonts w:ascii="David" w:cs="David" w:eastAsia="David" w:hAnsi="David"/>
                <w:sz w:val="24"/>
                <w:szCs w:val="24"/>
                <w:rtl/>
              </w:rPr>
              <w:t xml:space="preserve">מרחוב [___________], [עיר ___________]</w:t>
            </w:r>
          </w:p>
          <w:p>
            <w:pPr>
              <w:bidi/>
              <w:spacing w:after="40"/>
              <w:jc w:val="start"/>
            </w:pPr>
            <w:r>
              <w:rPr>
                <w:rFonts w:ascii="David" w:cs="David" w:eastAsia="David" w:hAnsi="David"/>
                <w:sz w:val="24"/>
                <w:szCs w:val="24"/>
                <w:rtl/>
              </w:rPr>
              <w:t xml:space="preserve">טל': 052-6078005</w:t>
            </w:r>
          </w:p>
        </w:tc>
        <w:tc>
          <w:tcPr>
            <w:tcW w:type="dxa" w:w="2268"/>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המבקש (החייב):</w:t>
            </w:r>
          </w:p>
        </w:tc>
      </w:tr>
    </w:tbl>
    <w:p>
      <w:pPr>
        <w:bidi/>
        <w:spacing w:after="120" w:line="360" w:lineRule="auto"/>
        <w:jc w:val="both"/>
      </w:pPr>
      <w:r>
        <w:rPr>
          <w:rFonts w:ascii="David" w:cs="David" w:eastAsia="David" w:hAnsi="David"/>
          <w:sz w:val="24"/>
          <w:szCs w:val="24"/>
          <w:rtl/>
        </w:rPr>
        <w:t xml:space="preserve"/>
      </w:r>
    </w:p>
    <w:p>
      <w:pPr>
        <w:bidi/>
        <w:spacing w:after="60"/>
        <w:jc w:val="center"/>
      </w:pPr>
      <w:r>
        <w:rPr>
          <w:rFonts w:ascii="David" w:cs="David" w:eastAsia="David" w:hAnsi="David"/>
          <w:b/>
          <w:bCs/>
          <w:sz w:val="24"/>
          <w:szCs w:val="24"/>
          <w:rtl/>
        </w:rPr>
        <w:t xml:space="preserve">- נגד -</w:t>
      </w:r>
    </w:p>
    <w:p>
      <w:pPr>
        <w:bidi/>
        <w:spacing w:after="120" w:line="360" w:lineRule="auto"/>
        <w:jc w:val="both"/>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6804"/>
        <w:gridCol w:w="2268"/>
      </w:tblGrid>
      <w:tr>
        <w:tc>
          <w:tcPr>
            <w:tcW w:type="dxa" w:w="6804"/>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המוסד לביטוח לאומי (מזונות)</w:t>
            </w:r>
          </w:p>
        </w:tc>
        <w:tc>
          <w:tcPr>
            <w:tcW w:type="dxa" w:w="2268"/>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המשיב (הזוכה):</w:t>
            </w:r>
          </w:p>
        </w:tc>
      </w:tr>
    </w:tbl>
    <w:p>
      <w:pPr>
        <w:bidi/>
        <w:spacing w:after="120" w:line="360" w:lineRule="auto"/>
        <w:jc w:val="both"/>
      </w:pPr>
      <w:r>
        <w:rPr>
          <w:rFonts w:ascii="David" w:cs="David" w:eastAsia="David" w:hAnsi="David"/>
          <w:sz w:val="24"/>
          <w:szCs w:val="24"/>
          <w:rtl/>
        </w:rPr>
        <w:t xml:space="preserve"/>
      </w:r>
    </w:p>
    <w:p>
      <w:pPr>
        <w:bidi/>
        <w:spacing w:after="0"/>
        <w:jc w:val="center"/>
      </w:pPr>
      <w:r>
        <w:rPr>
          <w:rFonts w:ascii="David" w:cs="David" w:eastAsia="David" w:hAnsi="David"/>
          <w:b/>
          <w:bCs/>
          <w:sz w:val="28"/>
          <w:szCs w:val="28"/>
          <w:u w:val="single"/>
          <w:rtl/>
        </w:rPr>
        <w:t xml:space="preserve">בקשה דחופה ליישום החלטת עיכוב ההליכים,</w:t>
      </w:r>
    </w:p>
    <w:p>
      <w:pPr>
        <w:bidi/>
        <w:spacing w:after="240"/>
        <w:jc w:val="center"/>
      </w:pPr>
      <w:r>
        <w:rPr>
          <w:rFonts w:ascii="David" w:cs="David" w:eastAsia="David" w:hAnsi="David"/>
          <w:b/>
          <w:bCs/>
          <w:sz w:val="28"/>
          <w:szCs w:val="28"/>
          <w:u w:val="single"/>
          <w:rtl/>
        </w:rPr>
        <w:t xml:space="preserve">להפסקת העיקול ולהקפאת הגדלת החוב</w:t>
      </w:r>
    </w:p>
    <w:p>
      <w:pPr>
        <w:bidi/>
        <w:spacing w:after="120" w:line="360" w:lineRule="auto"/>
        <w:jc w:val="both"/>
      </w:pPr>
      <w:r>
        <w:rPr>
          <w:rFonts w:ascii="David" w:cs="David" w:eastAsia="David" w:hAnsi="David"/>
          <w:sz w:val="24"/>
          <w:szCs w:val="24"/>
          <w:rtl/>
        </w:rPr>
        <w:t xml:space="preserve">כבוד הרשמת מתבקשת להורות כדלקמן:</w:t>
      </w:r>
    </w:p>
    <w:p>
      <w:pPr>
        <w:pStyle w:val="ListParagraph"/>
        <w:numPr>
          <w:ilvl w:val="0"/>
          <w:numId w:val="2"/>
        </w:numPr>
        <w:bidi/>
        <w:spacing w:after="120" w:line="360" w:lineRule="auto"/>
        <w:jc w:val="both"/>
      </w:pPr>
      <w:r>
        <w:rPr>
          <w:rFonts w:ascii="David" w:cs="David" w:eastAsia="David" w:hAnsi="David"/>
          <w:sz w:val="24"/>
          <w:szCs w:val="24"/>
          <w:rtl/>
        </w:rPr>
        <w:t xml:space="preserve">על יישום מלא ומיידי של החלטת בית המשפט לעניני משפחה בדבר עיכוב ההליכים בתיק, ועל הפסקת כל הליכי הגבייה והאכיפה המתנהלים בו בפועל, לרבות העיקול המוטל על חשבון הבנק המשותף למבקש ולרעייתו בבנק הפועלים, סניף 768, חשבון מס' 474964 (להלן: "החשבון המשותף").</w:t>
      </w:r>
    </w:p>
    <w:p>
      <w:pPr>
        <w:pStyle w:val="ListParagraph"/>
        <w:numPr>
          <w:ilvl w:val="0"/>
          <w:numId w:val="2"/>
        </w:numPr>
        <w:bidi/>
        <w:spacing w:after="120" w:line="360" w:lineRule="auto"/>
        <w:jc w:val="both"/>
      </w:pPr>
      <w:r>
        <w:rPr>
          <w:rFonts w:ascii="David" w:cs="David" w:eastAsia="David" w:hAnsi="David"/>
          <w:sz w:val="24"/>
          <w:szCs w:val="24"/>
          <w:rtl/>
        </w:rPr>
        <w:t xml:space="preserve">על משלוח הודעה מיידית לבנק הפועלים בדבר הסרת העיקול מהחשבון המשותף, או לכל הפחות בדבר עיכוב מימושו והפסקת העברת כספים ממנו לתיק.</w:t>
      </w:r>
    </w:p>
    <w:p>
      <w:pPr>
        <w:pStyle w:val="ListParagraph"/>
        <w:numPr>
          <w:ilvl w:val="0"/>
          <w:numId w:val="2"/>
        </w:numPr>
        <w:bidi/>
        <w:spacing w:after="120" w:line="360" w:lineRule="auto"/>
        <w:jc w:val="both"/>
      </w:pPr>
      <w:r>
        <w:rPr>
          <w:rFonts w:ascii="David" w:cs="David" w:eastAsia="David" w:hAnsi="David"/>
          <w:sz w:val="24"/>
          <w:szCs w:val="24"/>
          <w:rtl/>
        </w:rPr>
        <w:t xml:space="preserve">על הקפאת כל הגדלה של יתרת החוב בתיק (לרבות תוספת קרן, ריבית, הצמדה, אגרות והוצאות) החל ממועד החלטת העיכוב ועד להחלטה אחרת של בית המשפט.</w:t>
      </w:r>
    </w:p>
    <w:p>
      <w:pPr>
        <w:pStyle w:val="ListParagraph"/>
        <w:numPr>
          <w:ilvl w:val="0"/>
          <w:numId w:val="2"/>
        </w:numPr>
        <w:bidi/>
        <w:spacing w:after="120" w:line="360" w:lineRule="auto"/>
        <w:jc w:val="both"/>
      </w:pPr>
      <w:r>
        <w:rPr>
          <w:rFonts w:ascii="David" w:cs="David" w:eastAsia="David" w:hAnsi="David"/>
          <w:sz w:val="24"/>
          <w:szCs w:val="24"/>
          <w:rtl/>
        </w:rPr>
        <w:t xml:space="preserve">לחלופין לסעיף 3 לעיל, על המצאת פירוט חוב מלא למבקש, המפרט כל סכום שנוסף לחוב מאז מועד החלטת העיכוב, את מקורו ואת הבסיס לחיובו.</w:t>
      </w:r>
    </w:p>
    <w:p>
      <w:pPr>
        <w:pStyle w:val="ListParagraph"/>
        <w:numPr>
          <w:ilvl w:val="0"/>
          <w:numId w:val="2"/>
        </w:numPr>
        <w:bidi/>
        <w:spacing w:after="120" w:line="360" w:lineRule="auto"/>
        <w:jc w:val="both"/>
      </w:pPr>
      <w:r>
        <w:rPr>
          <w:rFonts w:ascii="David" w:cs="David" w:eastAsia="David" w:hAnsi="David"/>
          <w:sz w:val="24"/>
          <w:szCs w:val="24"/>
          <w:rtl/>
        </w:rPr>
        <w:t xml:space="preserve">על השבת כל סכום שנגבה מהחשבון המשותף לאחר מועד החלטת העיכוב.</w:t>
      </w:r>
    </w:p>
    <w:p>
      <w:pPr>
        <w:pStyle w:val="ListParagraph"/>
        <w:numPr>
          <w:ilvl w:val="0"/>
          <w:numId w:val="2"/>
        </w:numPr>
        <w:bidi/>
        <w:spacing w:after="120" w:line="360" w:lineRule="auto"/>
        <w:jc w:val="both"/>
      </w:pPr>
      <w:r>
        <w:rPr>
          <w:rFonts w:ascii="David" w:cs="David" w:eastAsia="David" w:hAnsi="David"/>
          <w:sz w:val="24"/>
          <w:szCs w:val="24"/>
          <w:rtl/>
        </w:rPr>
        <w:t xml:space="preserve">על מתן כל סעד אחר שכבוד הרשמת תמצא לנכון בנסיבות העניין.</w:t>
      </w:r>
    </w:p>
    <w:p>
      <w:pPr>
        <w:bidi/>
        <w:spacing w:after="120" w:before="240"/>
        <w:jc w:val="both"/>
      </w:pPr>
      <w:r>
        <w:rPr>
          <w:rFonts w:ascii="David" w:cs="David" w:eastAsia="David" w:hAnsi="David"/>
          <w:b/>
          <w:bCs/>
          <w:sz w:val="24"/>
          <w:szCs w:val="24"/>
          <w:u w:val="single"/>
          <w:rtl/>
        </w:rPr>
        <w:t xml:space="preserve">ואלה נימוקי הבקשה:</w:t>
      </w:r>
    </w:p>
    <w:p>
      <w:pPr>
        <w:bidi/>
        <w:spacing w:after="120" w:before="240"/>
        <w:jc w:val="start"/>
      </w:pPr>
      <w:r>
        <w:rPr>
          <w:rFonts w:ascii="David" w:cs="David" w:eastAsia="David" w:hAnsi="David"/>
          <w:b/>
          <w:bCs/>
          <w:sz w:val="24"/>
          <w:szCs w:val="24"/>
          <w:u w:val="single"/>
          <w:rtl/>
        </w:rPr>
        <w:t xml:space="preserve">א. החלטת עיכוב ההליכים קיימת, והלשכה עצמה הכירה בה</w:t>
      </w:r>
    </w:p>
    <w:p>
      <w:pPr>
        <w:pStyle w:val="ListParagraph"/>
        <w:numPr>
          <w:ilvl w:val="0"/>
          <w:numId w:val="2"/>
        </w:numPr>
        <w:bidi/>
        <w:spacing w:after="120" w:line="360" w:lineRule="auto"/>
        <w:jc w:val="both"/>
      </w:pPr>
      <w:r>
        <w:rPr>
          <w:rFonts w:ascii="David" w:cs="David" w:eastAsia="David" w:hAnsi="David"/>
          <w:sz w:val="24"/>
          <w:szCs w:val="24"/>
          <w:rtl/>
        </w:rPr>
        <w:t xml:space="preserve">ביום [__________] ניתנה על ידי בית המשפט לעניני משפחה ב[__________], בתיק [__________], החלטה המורה על עיכוב ההליכים בתיק ההוצאה לפועל שבכותרת. העתק ההחלטה מצורף לבקשה זו.</w:t>
      </w:r>
    </w:p>
    <w:p>
      <w:pPr>
        <w:pStyle w:val="ListParagraph"/>
        <w:numPr>
          <w:ilvl w:val="0"/>
          <w:numId w:val="2"/>
        </w:numPr>
        <w:bidi/>
        <w:spacing w:after="120" w:line="360" w:lineRule="auto"/>
        <w:jc w:val="both"/>
      </w:pPr>
      <w:r>
        <w:rPr>
          <w:rFonts w:ascii="David" w:cs="David" w:eastAsia="David" w:hAnsi="David"/>
          <w:sz w:val="24"/>
          <w:szCs w:val="24"/>
          <w:rtl/>
        </w:rPr>
        <w:t xml:space="preserve">ביום 22.9.2026 הגיש המבקש בקשה לביטול הליכים (בקשה מס' 44). באותו יום ניתנה החלטת כבוד הרשמת, שבה נקבע במפורש כי "ההליכים בתיק מעוכבים על פי החלטת בית משפט הנכבד", והבקשה נדחתה בשלב זה.</w:t>
      </w:r>
    </w:p>
    <w:p>
      <w:pPr>
        <w:pStyle w:val="ListParagraph"/>
        <w:numPr>
          <w:ilvl w:val="0"/>
          <w:numId w:val="2"/>
        </w:numPr>
        <w:bidi/>
        <w:spacing w:after="120" w:line="360" w:lineRule="auto"/>
        <w:jc w:val="both"/>
      </w:pPr>
      <w:r>
        <w:rPr>
          <w:rFonts w:ascii="David" w:cs="David" w:eastAsia="David" w:hAnsi="David"/>
          <w:sz w:val="24"/>
          <w:szCs w:val="24"/>
          <w:rtl/>
        </w:rPr>
        <w:t xml:space="preserve">הנה כי כן, אין מחלוקת כי ההליכים בתיק מעוכבים. לשכת ההוצאה לפועל עצמה קבעה זאת בהחלטה שיפוטית.</w:t>
      </w:r>
    </w:p>
    <w:p>
      <w:pPr>
        <w:bidi/>
        <w:spacing w:after="120" w:before="240"/>
        <w:jc w:val="start"/>
      </w:pPr>
      <w:r>
        <w:rPr>
          <w:rFonts w:ascii="David" w:cs="David" w:eastAsia="David" w:hAnsi="David"/>
          <w:b/>
          <w:bCs/>
          <w:sz w:val="24"/>
          <w:szCs w:val="24"/>
          <w:u w:val="single"/>
          <w:rtl/>
        </w:rPr>
        <w:t xml:space="preserve">ב. בפועל, ההליכים ממשיכים כאילו לא ניתנה החלטה</w:t>
      </w:r>
    </w:p>
    <w:p>
      <w:pPr>
        <w:pStyle w:val="ListParagraph"/>
        <w:numPr>
          <w:ilvl w:val="0"/>
          <w:numId w:val="2"/>
        </w:numPr>
        <w:bidi/>
        <w:spacing w:after="120" w:line="360" w:lineRule="auto"/>
        <w:jc w:val="both"/>
      </w:pPr>
      <w:r>
        <w:rPr>
          <w:rFonts w:ascii="David" w:cs="David" w:eastAsia="David" w:hAnsi="David"/>
          <w:sz w:val="24"/>
          <w:szCs w:val="24"/>
          <w:rtl/>
        </w:rPr>
        <w:t xml:space="preserve">למרות האמור, העיקול על החשבון המשותף לא הוסר, והוא ממשיך לפעול. כספים ממשיכים להיות מעוקלים ומועברים מהחשבון על חשבון המבקש ורעייתו.</w:t>
      </w:r>
    </w:p>
    <w:p>
      <w:pPr>
        <w:pStyle w:val="ListParagraph"/>
        <w:numPr>
          <w:ilvl w:val="0"/>
          <w:numId w:val="2"/>
        </w:numPr>
        <w:bidi/>
        <w:spacing w:after="120" w:line="360" w:lineRule="auto"/>
        <w:jc w:val="both"/>
      </w:pPr>
      <w:r>
        <w:rPr>
          <w:rFonts w:ascii="David" w:cs="David" w:eastAsia="David" w:hAnsi="David"/>
          <w:sz w:val="24"/>
          <w:szCs w:val="24"/>
          <w:rtl/>
        </w:rPr>
        <w:t xml:space="preserve">בנוסף, יתרת החוב בתיק תופחת מדי יום. המבקש אינו מבין כיצד ומדוע גדלה קרן החוב בתקופה שבה ההליכים מעוכבים על פי החלטת בית המשפט, ואיש לא מסר לו הסבר לכך.</w:t>
      </w:r>
    </w:p>
    <w:p>
      <w:pPr>
        <w:pStyle w:val="ListParagraph"/>
        <w:numPr>
          <w:ilvl w:val="0"/>
          <w:numId w:val="2"/>
        </w:numPr>
        <w:bidi/>
        <w:spacing w:after="120" w:line="360" w:lineRule="auto"/>
        <w:jc w:val="both"/>
      </w:pPr>
      <w:r>
        <w:rPr>
          <w:rFonts w:ascii="David" w:cs="David" w:eastAsia="David" w:hAnsi="David"/>
          <w:sz w:val="24"/>
          <w:szCs w:val="24"/>
          <w:rtl/>
        </w:rPr>
        <w:t xml:space="preserve">מצב זה סותר את החלטת בית המשפט ואת החלטת כבוד הרשמת עצמה. עיכוב הליכים שאינו מיושם בפועל, ובמסגרתו העיקול נמשך והחוב ממשיך לגדול, מרוקן את ההחלטה מתוכנה.</w:t>
      </w:r>
    </w:p>
    <w:p>
      <w:pPr>
        <w:bidi/>
        <w:spacing w:after="120" w:before="240"/>
        <w:jc w:val="start"/>
      </w:pPr>
      <w:r>
        <w:rPr>
          <w:rFonts w:ascii="David" w:cs="David" w:eastAsia="David" w:hAnsi="David"/>
          <w:b/>
          <w:bCs/>
          <w:sz w:val="24"/>
          <w:szCs w:val="24"/>
          <w:u w:val="single"/>
          <w:rtl/>
        </w:rPr>
        <w:t xml:space="preserve">ג. אין מדובר בבקשה לדון מחדש, אלא בבקשה ליישם החלטה קיימת</w:t>
      </w:r>
    </w:p>
    <w:p>
      <w:pPr>
        <w:pStyle w:val="ListParagraph"/>
        <w:numPr>
          <w:ilvl w:val="0"/>
          <w:numId w:val="2"/>
        </w:numPr>
        <w:bidi/>
        <w:spacing w:after="120" w:line="360" w:lineRule="auto"/>
        <w:jc w:val="both"/>
      </w:pPr>
      <w:r>
        <w:rPr>
          <w:rFonts w:ascii="David" w:cs="David" w:eastAsia="David" w:hAnsi="David"/>
          <w:sz w:val="24"/>
          <w:szCs w:val="24"/>
          <w:rtl/>
        </w:rPr>
        <w:t xml:space="preserve">בהחלטה מיום 22.9.2026 נקבע כי תנאי לדיון בבקשת המבקש הוא הצגת החלטה המורה על חידוש ההליכים. בכל הכבוד, בקשה זו שונה במהותה: המבקש אינו מבקש כי תתקיים הכרעה לגופו של החוב או של הסדר תשלומים, אלא כי ההחלטה הקיימת, שכבוד הרשמת כבר הכירה בה, תיושם הלכה למעשה במערכות הלשכה ומול הבנק.</w:t>
      </w:r>
    </w:p>
    <w:p>
      <w:pPr>
        <w:pStyle w:val="ListParagraph"/>
        <w:numPr>
          <w:ilvl w:val="0"/>
          <w:numId w:val="2"/>
        </w:numPr>
        <w:bidi/>
        <w:spacing w:after="120" w:line="360" w:lineRule="auto"/>
        <w:jc w:val="both"/>
      </w:pPr>
      <w:r>
        <w:rPr>
          <w:rFonts w:ascii="David" w:cs="David" w:eastAsia="David" w:hAnsi="David"/>
          <w:sz w:val="24"/>
          <w:szCs w:val="24"/>
          <w:rtl/>
        </w:rPr>
        <w:t xml:space="preserve">דווקא משום שההליכים מעוכבים, אין הצדקה להמשך קיומו של עיקול פעיל שכספים נגבים מכוחו. אי יישום ההחלטה הוא עניין מנהלי-ביצועי, שכבוד הרשמת מוסמכת ומתבקשת לתקנו.</w:t>
      </w:r>
    </w:p>
    <w:p>
      <w:pPr>
        <w:bidi/>
        <w:spacing w:after="120" w:before="240"/>
        <w:jc w:val="start"/>
      </w:pPr>
      <w:r>
        <w:rPr>
          <w:rFonts w:ascii="David" w:cs="David" w:eastAsia="David" w:hAnsi="David"/>
          <w:b/>
          <w:bCs/>
          <w:sz w:val="24"/>
          <w:szCs w:val="24"/>
          <w:u w:val="single"/>
          <w:rtl/>
        </w:rPr>
        <w:t xml:space="preserve">ד. העיקול פוגע גם ברעייתו של המבקש, שאינה חייבת בתיק</w:t>
      </w:r>
    </w:p>
    <w:p>
      <w:pPr>
        <w:pStyle w:val="ListParagraph"/>
        <w:numPr>
          <w:ilvl w:val="0"/>
          <w:numId w:val="2"/>
        </w:numPr>
        <w:bidi/>
        <w:spacing w:after="120" w:line="360" w:lineRule="auto"/>
        <w:jc w:val="both"/>
      </w:pPr>
      <w:r>
        <w:rPr>
          <w:rFonts w:ascii="David" w:cs="David" w:eastAsia="David" w:hAnsi="David"/>
          <w:sz w:val="24"/>
          <w:szCs w:val="24"/>
          <w:rtl/>
        </w:rPr>
        <w:t xml:space="preserve">החשבון המשותף הוא חשבון המשפחה, והוא משמש גם את רעייתו של המבקש, [שם הרעיה], שאינה צד לתיק ואינה חייבת בו. העיקול פוגע אפוא בצד שלישי שאין לו כל חוב, ומשבש את כלכלת הבית כולו.</w:t>
      </w:r>
    </w:p>
    <w:p>
      <w:pPr>
        <w:pStyle w:val="ListParagraph"/>
        <w:numPr>
          <w:ilvl w:val="0"/>
          <w:numId w:val="2"/>
        </w:numPr>
        <w:bidi/>
        <w:spacing w:after="120" w:line="360" w:lineRule="auto"/>
        <w:jc w:val="both"/>
      </w:pPr>
      <w:r>
        <w:rPr>
          <w:rFonts w:ascii="David" w:cs="David" w:eastAsia="David" w:hAnsi="David"/>
          <w:sz w:val="24"/>
          <w:szCs w:val="24"/>
          <w:rtl/>
        </w:rPr>
        <w:t xml:space="preserve">המבקש הוא אב לילד, והמשפחה נסמכת על הכספים שבחשבון לצורכי מחיה בסיסיים. כל יום שבו העיקול נמשך גורם להם נזק ממשי.</w:t>
      </w:r>
    </w:p>
    <w:p>
      <w:pPr>
        <w:bidi/>
        <w:spacing w:after="120" w:before="240"/>
        <w:jc w:val="start"/>
      </w:pPr>
      <w:r>
        <w:rPr>
          <w:rFonts w:ascii="David" w:cs="David" w:eastAsia="David" w:hAnsi="David"/>
          <w:b/>
          <w:bCs/>
          <w:sz w:val="24"/>
          <w:szCs w:val="24"/>
          <w:u w:val="single"/>
          <w:rtl/>
        </w:rPr>
        <w:t xml:space="preserve">ה. סיכום</w:t>
      </w:r>
    </w:p>
    <w:p>
      <w:pPr>
        <w:pStyle w:val="ListParagraph"/>
        <w:numPr>
          <w:ilvl w:val="0"/>
          <w:numId w:val="2"/>
        </w:numPr>
        <w:bidi/>
        <w:spacing w:after="120" w:line="360" w:lineRule="auto"/>
        <w:jc w:val="both"/>
      </w:pPr>
      <w:r>
        <w:rPr>
          <w:rFonts w:ascii="David" w:cs="David" w:eastAsia="David" w:hAnsi="David"/>
          <w:sz w:val="24"/>
          <w:szCs w:val="24"/>
          <w:rtl/>
        </w:rPr>
        <w:t xml:space="preserve">ההליכים בתיק מעוכבים על פי החלטת בית המשפט, והלשכה עצמה קבעה זאת. אף על פי כן העיקול נמשך והחוב גדל. לפיכך מתבקשת כבוד הרשמת ליתן את הסעדים המפורטים בראש הבקשה, ובפרט להורות על הפסקה מיידית של העיקול בחשבון המשותף ועל הקפאת הגדלת החוב.</w:t>
      </w:r>
    </w:p>
    <w:p>
      <w:pPr>
        <w:pStyle w:val="ListParagraph"/>
        <w:numPr>
          <w:ilvl w:val="0"/>
          <w:numId w:val="2"/>
        </w:numPr>
        <w:bidi/>
        <w:spacing w:after="120" w:line="360" w:lineRule="auto"/>
        <w:jc w:val="both"/>
      </w:pPr>
      <w:r>
        <w:rPr>
          <w:rFonts w:ascii="David" w:cs="David" w:eastAsia="David" w:hAnsi="David"/>
          <w:sz w:val="24"/>
          <w:szCs w:val="24"/>
          <w:rtl/>
        </w:rPr>
        <w:t xml:space="preserve">בשל הנזק המתמשך מתבקש כי הבקשה תידון בדחיפות.</w:t>
      </w:r>
    </w:p>
    <w:p>
      <w:pPr>
        <w:pStyle w:val="ListParagraph"/>
        <w:numPr>
          <w:ilvl w:val="0"/>
          <w:numId w:val="2"/>
        </w:numPr>
        <w:bidi/>
        <w:spacing w:after="120" w:line="360" w:lineRule="auto"/>
        <w:jc w:val="both"/>
      </w:pPr>
      <w:r>
        <w:rPr>
          <w:rFonts w:ascii="David" w:cs="David" w:eastAsia="David" w:hAnsi="David"/>
          <w:sz w:val="24"/>
          <w:szCs w:val="24"/>
          <w:rtl/>
        </w:rPr>
        <w:t xml:space="preserve">בקשה זו נתמכת בתצהיר המבקש המצורף.</w:t>
      </w:r>
    </w:p>
    <w:p>
      <w:pPr>
        <w:bidi/>
        <w:spacing w:after="120" w:line="360" w:lineRule="auto"/>
        <w:jc w:val="both"/>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תאריך: ____________</w:t>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sz w:val="24"/>
                <w:szCs w:val="24"/>
                <w:rtl/>
              </w:rPr>
              <w:t xml:space="preserve">____________________</w:t>
            </w:r>
          </w:p>
          <w:p>
            <w:pPr>
              <w:bidi/>
              <w:spacing w:after="40"/>
              <w:jc w:val="end"/>
            </w:pPr>
            <w:r>
              <w:rPr>
                <w:rFonts w:ascii="David" w:cs="David" w:eastAsia="David" w:hAnsi="David"/>
                <w:b/>
                <w:bCs/>
                <w:sz w:val="24"/>
                <w:szCs w:val="24"/>
                <w:rtl/>
              </w:rPr>
              <w:t xml:space="preserve">באביי בילילין, המבקש</w:t>
            </w:r>
          </w:p>
        </w:tc>
      </w:tr>
    </w:tbl>
    <w:p>
      <w:pPr>
        <w:bidi/>
        <w:spacing w:after="120" w:line="360" w:lineRule="auto"/>
        <w:jc w:val="both"/>
      </w:pPr>
      <w:r>
        <w:rPr>
          <w:rFonts w:ascii="David" w:cs="David" w:eastAsia="David" w:hAnsi="David"/>
          <w:sz w:val="24"/>
          <w:szCs w:val="24"/>
          <w:rtl/>
        </w:rPr>
        <w:t xml:space="preserve"/>
      </w:r>
    </w:p>
    <w:p>
      <w:pPr>
        <w:bidi/>
        <w:spacing w:after="120" w:before="240"/>
        <w:jc w:val="start"/>
      </w:pPr>
      <w:r>
        <w:rPr>
          <w:rFonts w:ascii="David" w:cs="David" w:eastAsia="David" w:hAnsi="David"/>
          <w:b/>
          <w:bCs/>
          <w:sz w:val="24"/>
          <w:szCs w:val="24"/>
          <w:u w:val="single"/>
          <w:rtl/>
        </w:rPr>
        <w:t xml:space="preserve">נספחים:</w:t>
      </w:r>
    </w:p>
    <w:p>
      <w:pPr>
        <w:bidi/>
        <w:spacing w:after="120" w:line="360" w:lineRule="auto"/>
        <w:jc w:val="both"/>
      </w:pPr>
      <w:r>
        <w:rPr>
          <w:rFonts w:ascii="David" w:cs="David" w:eastAsia="David" w:hAnsi="David"/>
          <w:sz w:val="24"/>
          <w:szCs w:val="24"/>
          <w:rtl/>
        </w:rPr>
        <w:t xml:space="preserve">נספח 1: העתק החלטת בית המשפט לעניני משפחה בדבר עיכוב ההליכים.</w:t>
      </w:r>
    </w:p>
    <w:p>
      <w:pPr>
        <w:bidi/>
        <w:spacing w:after="120" w:line="360" w:lineRule="auto"/>
        <w:jc w:val="both"/>
      </w:pPr>
      <w:r>
        <w:rPr>
          <w:rFonts w:ascii="David" w:cs="David" w:eastAsia="David" w:hAnsi="David"/>
          <w:sz w:val="24"/>
          <w:szCs w:val="24"/>
          <w:rtl/>
        </w:rPr>
        <w:t xml:space="preserve">נספח 2: העתק החלטת כבוד הרשמת מיום 22.9.2026 (בקשה מס' 44).</w:t>
      </w:r>
    </w:p>
    <w:p>
      <w:pPr>
        <w:bidi/>
        <w:spacing w:after="120" w:line="360" w:lineRule="auto"/>
        <w:jc w:val="both"/>
      </w:pPr>
      <w:r>
        <w:rPr>
          <w:rFonts w:ascii="David" w:cs="David" w:eastAsia="David" w:hAnsi="David"/>
          <w:sz w:val="24"/>
          <w:szCs w:val="24"/>
          <w:rtl/>
        </w:rPr>
        <w:t xml:space="preserve">נספח 3: תדפיס חשבון הבנק המשותף המראה את המשך העיקול / העברת הכספים לאחר מועד העיכוב.</w:t>
      </w:r>
    </w:p>
    <w:p>
      <w:pPr>
        <w:bidi/>
        <w:spacing w:after="120" w:line="360" w:lineRule="auto"/>
        <w:jc w:val="both"/>
      </w:pPr>
      <w:r>
        <w:rPr>
          <w:rFonts w:ascii="David" w:cs="David" w:eastAsia="David" w:hAnsi="David"/>
          <w:sz w:val="24"/>
          <w:szCs w:val="24"/>
          <w:rtl/>
        </w:rPr>
        <w:t xml:space="preserve">נספח 4: תדפיס יתרת החוב בתיק (ממערכת רשות האכיפה והגבייה) המראה את גידול החוב.</w:t>
      </w:r>
    </w:p>
    <w:p>
      <w:r>
        <w:br w:type="page"/>
      </w:r>
    </w:p>
    <w:p>
      <w:pPr>
        <w:bidi/>
        <w:spacing w:after="240"/>
        <w:jc w:val="center"/>
      </w:pPr>
      <w:r>
        <w:rPr>
          <w:rFonts w:ascii="David" w:cs="David" w:eastAsia="David" w:hAnsi="David"/>
          <w:b/>
          <w:bCs/>
          <w:sz w:val="28"/>
          <w:szCs w:val="28"/>
          <w:u w:val="single"/>
          <w:rtl/>
        </w:rPr>
        <w:t xml:space="preserve">תצהיר</w:t>
      </w:r>
    </w:p>
    <w:p>
      <w:pPr>
        <w:bidi/>
        <w:spacing w:after="120" w:line="360" w:lineRule="auto"/>
        <w:jc w:val="both"/>
      </w:pPr>
      <w:r>
        <w:rPr>
          <w:rFonts w:ascii="David" w:cs="David" w:eastAsia="David" w:hAnsi="David"/>
          <w:sz w:val="24"/>
          <w:szCs w:val="24"/>
          <w:rtl/>
        </w:rPr>
        <w:t xml:space="preserve">אני הח"מ, באביי בילילין, ת"ז 328811385, לאחר שהוזהרתי כי עליי לומר את האמת וכי אהיה צפוי לעונשים הקבועים בחוק אם לא אעשה כן, מצהיר בזה בכתב כדלקמן:</w:t>
      </w:r>
    </w:p>
    <w:p>
      <w:pPr>
        <w:pStyle w:val="ListParagraph"/>
        <w:numPr>
          <w:ilvl w:val="0"/>
          <w:numId w:val="3"/>
        </w:numPr>
        <w:bidi/>
        <w:spacing w:after="120" w:line="360" w:lineRule="auto"/>
        <w:jc w:val="both"/>
      </w:pPr>
      <w:r>
        <w:rPr>
          <w:rFonts w:ascii="David" w:cs="David" w:eastAsia="David" w:hAnsi="David"/>
          <w:sz w:val="24"/>
          <w:szCs w:val="24"/>
          <w:rtl/>
        </w:rPr>
        <w:t xml:space="preserve">אני החייב בתיק הוצאה לפועל מס' 542780-03-25, ואני עושה תצהיר זה בתמיכה לבקשתי ליישום החלטת עיכוב ההליכים, להפסקת העיקול ולהקפאת הגדלת החוב.</w:t>
      </w:r>
    </w:p>
    <w:p>
      <w:pPr>
        <w:pStyle w:val="ListParagraph"/>
        <w:numPr>
          <w:ilvl w:val="0"/>
          <w:numId w:val="3"/>
        </w:numPr>
        <w:bidi/>
        <w:spacing w:after="120" w:line="360" w:lineRule="auto"/>
        <w:jc w:val="both"/>
      </w:pPr>
      <w:r>
        <w:rPr>
          <w:rFonts w:ascii="David" w:cs="David" w:eastAsia="David" w:hAnsi="David"/>
          <w:sz w:val="24"/>
          <w:szCs w:val="24"/>
          <w:rtl/>
        </w:rPr>
        <w:t xml:space="preserve">ביום [__________] ניתנה החלטת בית המשפט לעניני משפחה המורה על עיכוב ההליכים בתיק.</w:t>
      </w:r>
    </w:p>
    <w:p>
      <w:pPr>
        <w:pStyle w:val="ListParagraph"/>
        <w:numPr>
          <w:ilvl w:val="0"/>
          <w:numId w:val="3"/>
        </w:numPr>
        <w:bidi/>
        <w:spacing w:after="120" w:line="360" w:lineRule="auto"/>
        <w:jc w:val="both"/>
      </w:pPr>
      <w:r>
        <w:rPr>
          <w:rFonts w:ascii="David" w:cs="David" w:eastAsia="David" w:hAnsi="David"/>
          <w:sz w:val="24"/>
          <w:szCs w:val="24"/>
          <w:rtl/>
        </w:rPr>
        <w:t xml:space="preserve">למרות זאת, העיקול על החשבון המשותף שלי ושל רעייתי בבנק הפועלים, סניף 768, חשבון מס' 474964, ממשיך לפעול, וכספים ממשיכים לרדת מהחשבון.</w:t>
      </w:r>
    </w:p>
    <w:p>
      <w:pPr>
        <w:pStyle w:val="ListParagraph"/>
        <w:numPr>
          <w:ilvl w:val="0"/>
          <w:numId w:val="3"/>
        </w:numPr>
        <w:bidi/>
        <w:spacing w:after="120" w:line="360" w:lineRule="auto"/>
        <w:jc w:val="both"/>
      </w:pPr>
      <w:r>
        <w:rPr>
          <w:rFonts w:ascii="David" w:cs="David" w:eastAsia="David" w:hAnsi="David"/>
          <w:sz w:val="24"/>
          <w:szCs w:val="24"/>
          <w:rtl/>
        </w:rPr>
        <w:t xml:space="preserve">יתרת החוב בתיק ממשיכה לגדול, ואיני יודע מדוע, שכן ההליכים מעוכבים.</w:t>
      </w:r>
    </w:p>
    <w:p>
      <w:pPr>
        <w:pStyle w:val="ListParagraph"/>
        <w:numPr>
          <w:ilvl w:val="0"/>
          <w:numId w:val="3"/>
        </w:numPr>
        <w:bidi/>
        <w:spacing w:after="120" w:line="360" w:lineRule="auto"/>
        <w:jc w:val="both"/>
      </w:pPr>
      <w:r>
        <w:rPr>
          <w:rFonts w:ascii="David" w:cs="David" w:eastAsia="David" w:hAnsi="David"/>
          <w:sz w:val="24"/>
          <w:szCs w:val="24"/>
          <w:rtl/>
        </w:rPr>
        <w:t xml:space="preserve">רעייתי אינה חייבת בתיק, והחשבון משמש את כל המשפחה לצורכי מחיה.</w:t>
      </w:r>
    </w:p>
    <w:p>
      <w:pPr>
        <w:pStyle w:val="ListParagraph"/>
        <w:numPr>
          <w:ilvl w:val="0"/>
          <w:numId w:val="3"/>
        </w:numPr>
        <w:bidi/>
        <w:spacing w:after="120" w:line="360" w:lineRule="auto"/>
        <w:jc w:val="both"/>
      </w:pPr>
      <w:r>
        <w:rPr>
          <w:rFonts w:ascii="David" w:cs="David" w:eastAsia="David" w:hAnsi="David"/>
          <w:sz w:val="24"/>
          <w:szCs w:val="24"/>
          <w:rtl/>
        </w:rPr>
        <w:t xml:space="preserve">זה שמי, זו חתימתי ותוכן תצהירי אמת.</w:t>
      </w:r>
    </w:p>
    <w:p>
      <w:pPr>
        <w:bidi/>
        <w:spacing w:after="120" w:line="360" w:lineRule="auto"/>
        <w:jc w:val="both"/>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sz w:val="24"/>
                <w:szCs w:val="24"/>
                <w:rtl/>
              </w:rPr>
              <w:t xml:space="preserve">____________________</w:t>
            </w:r>
          </w:p>
          <w:p>
            <w:pPr>
              <w:bidi/>
              <w:spacing w:after="40"/>
              <w:jc w:val="end"/>
            </w:pPr>
            <w:r>
              <w:rPr>
                <w:rFonts w:ascii="David" w:cs="David" w:eastAsia="David" w:hAnsi="David"/>
                <w:b/>
                <w:bCs/>
                <w:sz w:val="24"/>
                <w:szCs w:val="24"/>
                <w:rtl/>
              </w:rPr>
              <w:t xml:space="preserve">באביי בילילין, המצהיר</w:t>
            </w:r>
          </w:p>
        </w:tc>
      </w:tr>
    </w:tbl>
    <w:p>
      <w:pPr>
        <w:bidi/>
        <w:spacing w:after="120" w:line="360" w:lineRule="auto"/>
        <w:jc w:val="both"/>
      </w:pPr>
      <w:r>
        <w:rPr>
          <w:rFonts w:ascii="David" w:cs="David" w:eastAsia="David" w:hAnsi="David"/>
          <w:sz w:val="24"/>
          <w:szCs w:val="24"/>
          <w:rtl/>
        </w:rPr>
        <w:t xml:space="preserve"/>
      </w:r>
    </w:p>
    <w:p>
      <w:pPr>
        <w:bidi/>
        <w:spacing w:after="120"/>
        <w:jc w:val="center"/>
      </w:pPr>
      <w:r>
        <w:rPr>
          <w:rFonts w:ascii="David" w:cs="David" w:eastAsia="David" w:hAnsi="David"/>
          <w:b/>
          <w:bCs/>
          <w:sz w:val="24"/>
          <w:szCs w:val="24"/>
          <w:u w:val="single"/>
          <w:rtl/>
        </w:rPr>
        <w:t xml:space="preserve">אישור</w:t>
      </w:r>
    </w:p>
    <w:p>
      <w:pPr>
        <w:bidi/>
        <w:spacing w:after="120" w:line="360" w:lineRule="auto"/>
        <w:jc w:val="both"/>
      </w:pPr>
      <w:r>
        <w:rPr>
          <w:rFonts w:ascii="David" w:cs="David" w:eastAsia="David" w:hAnsi="David"/>
          <w:sz w:val="24"/>
          <w:szCs w:val="24"/>
          <w:rtl/>
        </w:rPr>
        <w:t xml:space="preserve">אני הח"מ, עו"ד ____________, מאשר כי ביום ____________ הופיע בפניי מר באביי בילילין, שזיהה עצמו באמצעות ת"ז 328811385, ולאחר שהזהרתיו כי עליו לומר את האמת וכי יהיה צפוי לעונשים הקבועים בחוק אם לא יעשה כן, אישר את נכונות הצהרתו דלעיל וחתם עליה בפניי.</w:t>
      </w:r>
    </w:p>
    <w:p>
      <w:pPr>
        <w:bidi/>
        <w:spacing w:after="120" w:line="360" w:lineRule="auto"/>
        <w:jc w:val="both"/>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sz w:val="24"/>
                <w:szCs w:val="24"/>
                <w:rtl/>
              </w:rPr>
              <w:t xml:space="preserve">____________________</w:t>
            </w:r>
          </w:p>
          <w:p>
            <w:pPr>
              <w:bidi/>
              <w:spacing w:after="40"/>
              <w:jc w:val="end"/>
            </w:pPr>
            <w:r>
              <w:rPr>
                <w:rFonts w:ascii="David" w:cs="David" w:eastAsia="David" w:hAnsi="David"/>
                <w:b/>
                <w:bCs/>
                <w:sz w:val="24"/>
                <w:szCs w:val="24"/>
                <w:rtl/>
              </w:rPr>
              <w:t xml:space="preserve">חתימה וחותמת עו"ד</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decimal"/>
      <w:suff w:val="tab"/>
      <w:lvlText w:val="%1."/>
      <w:lvlJc w:val="start"/>
      <w:pPr>
        <w:ind w:left="567" w:hanging="56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2026-09-23T08:35:50.081Z</dcterms:created>
  <dcterms:modified xsi:type="dcterms:W3CDTF">2026-09-23T08:35:50.081Z</dcterms:modified>
</cp:coreProperties>
</file>

<file path=docProps/custom.xml><?xml version="1.0" encoding="utf-8"?>
<Properties xmlns="http://schemas.openxmlformats.org/officeDocument/2006/custom-properties" xmlns:vt="http://schemas.openxmlformats.org/officeDocument/2006/docPropsVTypes"/>
</file>