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c>
          <w:tcPr>
            <w:tcW w:type="dxa" w:w="6200"/>
            <w:tcBorders>
              <w:top w:val="none" w:color="FFFFFF" w:sz="0"/>
              <w:left w:val="none" w:color="FFFFFF" w:sz="0"/>
              <w:bottom w:val="none" w:color="FFFFFF" w:sz="0"/>
              <w:right w:val="none" w:color="FFFFFF" w:sz="0"/>
            </w:tcBorders>
          </w:tcPr>
          <w:p>
            <w:pPr>
              <w:bidi/>
              <w:jc w:val="start"/>
            </w:pPr>
            <w:r>
              <w:rPr>
                <w:rFonts w:ascii="David" w:cs="David" w:eastAsia="David" w:hAnsi="David"/>
                <w:b/>
                <w:bCs/>
                <w:sz w:val="25"/>
                <w:szCs w:val="25"/>
                <w:rtl/>
              </w:rPr>
              <w:t xml:space="preserve">בבית הדין הרבני האזורי ב______________</w:t>
            </w:r>
          </w:p>
        </w:tc>
        <w:tc>
          <w:tcPr>
            <w:tcW w:type="dxa" w:w="3438"/>
            <w:tcBorders>
              <w:top w:val="none" w:color="FFFFFF" w:sz="0"/>
              <w:left w:val="none" w:color="FFFFFF" w:sz="0"/>
              <w:bottom w:val="none" w:color="FFFFFF" w:sz="0"/>
              <w:right w:val="none" w:color="FFFFFF" w:sz="0"/>
            </w:tcBorders>
          </w:tcPr>
          <w:p>
            <w:pPr>
              <w:bidi/>
              <w:jc w:val="end"/>
            </w:pPr>
            <w:r>
              <w:rPr>
                <w:rFonts w:ascii="David" w:cs="David" w:eastAsia="David" w:hAnsi="David"/>
                <w:b/>
                <w:bCs/>
                <w:sz w:val="25"/>
                <w:szCs w:val="25"/>
                <w:rtl/>
              </w:rPr>
              <w:t xml:space="preserve">תיק מס' ______________</w:t>
            </w:r>
          </w:p>
        </w:tc>
      </w:tr>
    </w:tbl>
    <w:p>
      <w:pPr>
        <w:bidi/>
        <w:spacing w:after="60" w:before="0" w:line="264" w:lineRule="auto"/>
        <w:jc w:val="both"/>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bidi/>
              <w:spacing w:after="0" w:line="264" w:lineRule="auto"/>
              <w:jc w:val="start"/>
            </w:pPr>
            <w:r>
              <w:rPr>
                <w:rFonts w:ascii="David" w:cs="David" w:eastAsia="David" w:hAnsi="David"/>
                <w:b/>
                <w:bCs/>
                <w:sz w:val="23"/>
                <w:szCs w:val="23"/>
                <w:rtl/>
              </w:rPr>
              <w:t xml:space="preserve">המבקשת:</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bidi/>
              <w:spacing w:after="0" w:line="264" w:lineRule="auto"/>
              <w:jc w:val="start"/>
            </w:pPr>
            <w:r>
              <w:rPr>
                <w:rFonts w:ascii="David" w:cs="David" w:eastAsia="David" w:hAnsi="David"/>
                <w:b w:val="false"/>
                <w:bCs w:val="false"/>
                <w:sz w:val="23"/>
                <w:szCs w:val="23"/>
                <w:rtl/>
              </w:rPr>
              <w:t xml:space="preserve">______________ (שם מלא), ת.ז. ______________</w:t>
            </w:r>
          </w:p>
          <w:p>
            <w:pPr>
              <w:bidi/>
              <w:spacing w:after="0" w:line="264" w:lineRule="auto"/>
              <w:jc w:val="start"/>
            </w:pPr>
            <w:r>
              <w:rPr>
                <w:rFonts w:ascii="David" w:cs="David" w:eastAsia="David" w:hAnsi="David"/>
                <w:b w:val="false"/>
                <w:bCs w:val="false"/>
                <w:sz w:val="23"/>
                <w:szCs w:val="23"/>
                <w:rtl/>
              </w:rPr>
              <w:t xml:space="preserve">ע"י ב"כ עו"ד סולומון טקה, מ.ר. ______________</w:t>
            </w:r>
          </w:p>
          <w:p>
            <w:pPr>
              <w:bidi/>
              <w:spacing w:after="0" w:line="264" w:lineRule="auto"/>
              <w:jc w:val="start"/>
            </w:pPr>
            <w:r>
              <w:rPr>
                <w:rFonts w:ascii="David" w:cs="David" w:eastAsia="David" w:hAnsi="David"/>
                <w:b w:val="false"/>
                <w:bCs w:val="false"/>
                <w:sz w:val="23"/>
                <w:szCs w:val="23"/>
                <w:rtl/>
              </w:rPr>
              <w:t xml:space="preserve">טל' ______________ ; דוא"ל ______________</w:t>
            </w:r>
          </w:p>
        </w:tc>
      </w:tr>
    </w:tbl>
    <w:p>
      <w:pPr>
        <w:bidi/>
        <w:spacing w:after="40" w:before="40" w:line="264" w:lineRule="auto"/>
        <w:jc w:val="center"/>
      </w:pPr>
      <w:r>
        <w:rPr>
          <w:rFonts w:ascii="David" w:cs="David" w:eastAsia="David" w:hAnsi="David"/>
          <w:b w:val="false"/>
          <w:bCs w:val="false"/>
          <w:sz w:val="23"/>
          <w:szCs w:val="23"/>
          <w:rtl/>
        </w:rPr>
        <w:t xml:space="preserve">- נ ג ד -</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tcMar>
              <w:top w:type="dxa" w:w="0"/>
              <w:left w:type="dxa" w:w="0"/>
              <w:bottom w:type="dxa" w:w="0"/>
              <w:right w:type="dxa" w:w="0"/>
            </w:tcMar>
          </w:tcPr>
          <w:p>
            <w:pPr>
              <w:bidi/>
              <w:spacing w:after="0" w:line="264" w:lineRule="auto"/>
              <w:jc w:val="start"/>
            </w:pPr>
            <w:r>
              <w:rPr>
                <w:rFonts w:ascii="David" w:cs="David" w:eastAsia="David" w:hAnsi="David"/>
                <w:b/>
                <w:bCs/>
                <w:sz w:val="23"/>
                <w:szCs w:val="23"/>
                <w:rtl/>
              </w:rPr>
              <w:t xml:space="preserve">המשיב:</w:t>
            </w:r>
          </w:p>
        </w:tc>
        <w:tc>
          <w:tcPr>
            <w:tcW w:type="dxa" w:w="8138"/>
            <w:tcBorders>
              <w:top w:val="none" w:color="FFFFFF" w:sz="0"/>
              <w:left w:val="none" w:color="FFFFFF" w:sz="0"/>
              <w:bottom w:val="none" w:color="FFFFFF" w:sz="0"/>
              <w:right w:val="none" w:color="FFFFFF" w:sz="0"/>
            </w:tcBorders>
            <w:tcMar>
              <w:top w:type="dxa" w:w="0"/>
              <w:left w:type="dxa" w:w="0"/>
              <w:bottom w:type="dxa" w:w="0"/>
              <w:right w:type="dxa" w:w="0"/>
            </w:tcMar>
          </w:tcPr>
          <w:p>
            <w:pPr>
              <w:bidi/>
              <w:spacing w:after="0" w:line="264" w:lineRule="auto"/>
              <w:jc w:val="start"/>
            </w:pPr>
            <w:r>
              <w:rPr>
                <w:rFonts w:ascii="David" w:cs="David" w:eastAsia="David" w:hAnsi="David"/>
                <w:b w:val="false"/>
                <w:bCs w:val="false"/>
                <w:sz w:val="23"/>
                <w:szCs w:val="23"/>
                <w:rtl/>
              </w:rPr>
              <w:t xml:space="preserve">______________ (שם מלא), ת.ז. ______________ (להלן גם: "האב")</w:t>
            </w:r>
          </w:p>
        </w:tc>
      </w:tr>
    </w:tbl>
    <w:p>
      <w:pPr>
        <w:bidi/>
        <w:spacing w:after="0" w:before="200" w:line="264" w:lineRule="auto"/>
        <w:jc w:val="center"/>
      </w:pPr>
      <w:r>
        <w:rPr>
          <w:rFonts w:ascii="David" w:cs="David" w:eastAsia="David" w:hAnsi="David"/>
          <w:b/>
          <w:bCs/>
          <w:sz w:val="27"/>
          <w:szCs w:val="27"/>
          <w:u w:val="single"/>
          <w:rtl/>
        </w:rPr>
        <w:t xml:space="preserve">בקשה דחופה להארכת תוקפו של צו הגנה</w:t>
      </w:r>
    </w:p>
    <w:p>
      <w:pPr>
        <w:bidi/>
        <w:spacing w:after="140" w:before="0" w:line="264" w:lineRule="auto"/>
        <w:jc w:val="center"/>
      </w:pPr>
      <w:r>
        <w:rPr>
          <w:rFonts w:ascii="David" w:cs="David" w:eastAsia="David" w:hAnsi="David"/>
          <w:b/>
          <w:bCs/>
          <w:sz w:val="23"/>
          <w:szCs w:val="23"/>
          <w:rtl/>
        </w:rPr>
        <w:t xml:space="preserve">(תוקף הצו פוקע ביום 16.8.2026 — מתבקשת החלטה בטרם מועד זה)</w:t>
      </w:r>
    </w:p>
    <w:p>
      <w:pPr>
        <w:bidi/>
        <w:spacing w:after="60" w:before="0" w:line="264" w:lineRule="auto"/>
        <w:jc w:val="both"/>
      </w:pPr>
      <w:r>
        <w:rPr>
          <w:rFonts w:ascii="David" w:cs="David" w:eastAsia="David" w:hAnsi="David"/>
          <w:b w:val="false"/>
          <w:bCs w:val="false"/>
          <w:sz w:val="23"/>
          <w:szCs w:val="23"/>
          <w:rtl/>
        </w:rPr>
        <w:t xml:space="preserve">בית הדין הנכבד מתבקש להאריך את תוקפו של צו ההגנה שניתן נגד המשיב, אשר פוקע ביום 16.8.2026, ולהורות כי הסדרי הליווי בהגעת הקטינות ובהשבתן יעמדו בעינם; ואלה נימוקי הבקשה:</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ביום ______________ ניתן נגד המשיב צו הגנה (להלן: </w:t>
      </w:r>
      <w:r>
        <w:rPr>
          <w:rFonts w:ascii="David" w:cs="David" w:eastAsia="David" w:hAnsi="David"/>
          <w:b w:val="false"/>
          <w:bCs w:val="false"/>
          <w:sz w:val="23"/>
          <w:szCs w:val="23"/>
          <w:rtl/>
        </w:rPr>
        <w:t xml:space="preserve">"צו ההגנה"</w:t>
      </w:r>
      <w:r>
        <w:rPr>
          <w:rFonts w:ascii="David" w:cs="David" w:eastAsia="David" w:hAnsi="David"/>
          <w:b w:val="false"/>
          <w:bCs w:val="false"/>
          <w:sz w:val="23"/>
          <w:szCs w:val="23"/>
          <w:rtl/>
        </w:rPr>
        <w:t xml:space="preserve">). תוקפו של הצו פוקע ביום 16.8.2026, קרי בתוך ימים ספורים.</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בהתאם להחלטת בית הדין הנכבד מיום ______________ מתקיימים זמני שהות בין המשיב לבין הקטינות בלבד, בימים ב' ו-ו', כאשר הגעת הקטינות והשבתן נעשות בליווי גורם שלישי. עם הקטין טרם התקיימו זמני שהות.</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בדיון שהתקיים ביום ______________ ציין האב כי קיים קושי משמעותי בהגעת הקטינות ובהשבתן בליווי גורם שלישי, וכי החל מיום 16.8.2026 לא יידרש עוד ליווי צד ג' — בשל סיום תקופת צו ההגנה.</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באמירה זו מונח לב הבקשה: המשיב אינו מסתיר כי הוא רואה בפקיעת הצו את סופו של הסדר הליווי, ומתכוון לחדול ממנו. הפסקת הליווי לא תיגזר אפוא מהחלטה שיפוטית שבחנה את שלומם של המבקשת והקטינים, אלא מחלוף הזמן בלבד.</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ואולם הליווי אינו פרט טכני. הוא שמאפשר את קיום זמני השהות בלא מגע ישיר בין הצדדים, ונקודות המסירה הן נקודות המפגש היחידות ביניהם. בהיעדרו ייווצר מפגש ישיר בין הצדדים פעמיים בשבוע — התוצאה שצו ההגנה נועד למנוע.</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והדברים אינם תיאורטיים: זמן השהות הקרוב חל ביום ו', 14.8.2026, בעוד הצו בתוקף; ואילו זמן השהות שלאחריו — יום ב', 17.8.2026 — כבר יחול לאחר פקיעתו. כלומר, כבר במסירה הראשונה שלאחר 16.8.2026 יבוטל הליווי הלכה למעשה.</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אין בקושי הלוגיסטי שעליו הצביע האב כדי לגבור על התכלית שלשמה ניתן הצו. ככל שסבור הוא כי הסדר הליווי מכביד עליו, פתוחה בפניו הדרך להגיש בקשה מתאימה לשינויו — לגופו ולאחר שמיעת עמדת המבקשת — ולא להסתמך על פקיעת הצו כדרך לייתרו.</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זאת ועוד, מערך זמני השהות טרם הושלם — עם הקטין הוא לא החל כלל. דווקא בשלב זה, שבו המסגרת עודנה מתגבשת, נדרשת יציבותה, ולא הסרת אמצעי הזהירות שעליהם היא נשענת.</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הנה כי כן, הצורך שבגינו ניתן צו ההגנה לא חלף, ואין בחלוף הזמן כשלעצמו כדי ללמד על שינוי נסיבות. בית הדין הנכבד מוסמך להאריך את תוקפו של הצו לפי סעיף 5 לחוק למניעת אלימות במשפחה, התשנ"א-1991.</w:t>
      </w:r>
    </w:p>
    <w:p>
      <w:pPr>
        <w:pStyle w:val="ListParagraph"/>
        <w:numPr>
          <w:ilvl w:val="0"/>
          <w:numId w:val="2"/>
        </w:numPr>
        <w:bidi/>
        <w:spacing w:after="70" w:line="264" w:lineRule="auto"/>
        <w:jc w:val="both"/>
      </w:pPr>
      <w:r>
        <w:rPr>
          <w:rFonts w:ascii="David" w:cs="David" w:eastAsia="David" w:hAnsi="David"/>
          <w:b w:val="false"/>
          <w:bCs w:val="false"/>
          <w:sz w:val="23"/>
          <w:szCs w:val="23"/>
          <w:rtl/>
        </w:rPr>
        <w:t xml:space="preserve">הבקשה מוגשת אפוא בדחיפות, שכן בהיעדר החלטה עד ליום 16.8.2026 יפקע הצו מאליו, ועמו יישמט הבסיס להסדר הליווי.</w:t>
      </w:r>
    </w:p>
    <w:p>
      <w:pPr>
        <w:bidi/>
        <w:spacing w:after="60" w:before="120" w:line="264" w:lineRule="auto"/>
        <w:jc w:val="both"/>
      </w:pPr>
      <w:r>
        <w:rPr>
          <w:rFonts w:ascii="David" w:cs="David" w:eastAsia="David" w:hAnsi="David"/>
          <w:b/>
          <w:bCs/>
          <w:sz w:val="23"/>
          <w:szCs w:val="23"/>
          <w:rtl/>
        </w:rPr>
        <w:t xml:space="preserve">אשר על כן, מתבקש בית הדין הנכבד:</w:t>
      </w:r>
    </w:p>
    <w:p>
      <w:pPr>
        <w:bidi/>
        <w:spacing w:after="40" w:before="0" w:line="264" w:lineRule="auto"/>
        <w:ind w:left="360"/>
        <w:jc w:val="both"/>
      </w:pPr>
      <w:r>
        <w:rPr>
          <w:rFonts w:ascii="David" w:cs="David" w:eastAsia="David" w:hAnsi="David"/>
          <w:b w:val="false"/>
          <w:bCs w:val="false"/>
          <w:sz w:val="23"/>
          <w:szCs w:val="23"/>
          <w:rtl/>
        </w:rPr>
        <w:t xml:space="preserve">א.	להאריך את תוקפו של צו ההגנה לתקופה נוספת בת ______________ חודשים.</w:t>
      </w:r>
    </w:p>
    <w:p>
      <w:pPr>
        <w:bidi/>
        <w:spacing w:after="40" w:before="0" w:line="264" w:lineRule="auto"/>
        <w:ind w:left="360"/>
        <w:jc w:val="both"/>
      </w:pPr>
      <w:r>
        <w:rPr>
          <w:rFonts w:ascii="David" w:cs="David" w:eastAsia="David" w:hAnsi="David"/>
          <w:b w:val="false"/>
          <w:bCs w:val="false"/>
          <w:sz w:val="23"/>
          <w:szCs w:val="23"/>
          <w:rtl/>
        </w:rPr>
        <w:t xml:space="preserve">ב.	להורות כי הסדרי הליווי של גורם שלישי בהגעת הקטינות ובהשבתן יעמדו בעינם.</w:t>
      </w:r>
    </w:p>
    <w:p>
      <w:pPr>
        <w:bidi/>
        <w:spacing w:after="140" w:before="0" w:line="264" w:lineRule="auto"/>
        <w:ind w:left="360"/>
        <w:jc w:val="both"/>
      </w:pPr>
      <w:r>
        <w:rPr>
          <w:rFonts w:ascii="David" w:cs="David" w:eastAsia="David" w:hAnsi="David"/>
          <w:b w:val="false"/>
          <w:bCs w:val="false"/>
          <w:sz w:val="23"/>
          <w:szCs w:val="23"/>
          <w:rtl/>
        </w:rPr>
        <w:t xml:space="preserve">ג.	ליתן החלטה בטרם 16.8.2026, ולחלופין להאריך את הצו באופן ארעי עד להכרעה בבקשה.</w:t>
      </w:r>
    </w:p>
    <w:p>
      <w:pPr>
        <w:bidi/>
        <w:spacing w:after="160" w:before="0" w:line="264" w:lineRule="auto"/>
        <w:jc w:val="start"/>
      </w:pPr>
      <w:r>
        <w:rPr>
          <w:rFonts w:ascii="David" w:cs="David" w:eastAsia="David" w:hAnsi="David"/>
          <w:b w:val="false"/>
          <w:bCs w:val="false"/>
          <w:sz w:val="23"/>
          <w:szCs w:val="23"/>
          <w:rtl/>
        </w:rPr>
        <w:t xml:space="preserve">תאריך: ______________</w:t>
      </w:r>
    </w:p>
    <w:p>
      <w:pPr>
        <w:bidi/>
        <w:spacing w:after="0" w:before="0" w:line="264" w:lineRule="auto"/>
        <w:jc w:val="center"/>
      </w:pPr>
      <w:r>
        <w:rPr>
          <w:rFonts w:ascii="David" w:cs="David" w:eastAsia="David" w:hAnsi="David"/>
          <w:b w:val="false"/>
          <w:bCs w:val="false"/>
          <w:sz w:val="23"/>
          <w:szCs w:val="23"/>
          <w:rtl/>
        </w:rPr>
        <w:t xml:space="preserve">סולומון טקה, עו"ד</w:t>
      </w:r>
    </w:p>
    <w:p>
      <w:pPr>
        <w:bidi/>
        <w:spacing w:after="0" w:before="0" w:line="264" w:lineRule="auto"/>
        <w:jc w:val="center"/>
      </w:pPr>
      <w:r>
        <w:rPr>
          <w:rFonts w:ascii="David" w:cs="David" w:eastAsia="David" w:hAnsi="David"/>
          <w:b w:val="false"/>
          <w:bCs w:val="false"/>
          <w:sz w:val="23"/>
          <w:szCs w:val="23"/>
          <w:rtl/>
        </w:rPr>
        <w:t xml:space="preserve">ב"כ המבקשת</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2026-08-13T09:50:25.697Z</dcterms:created>
  <dcterms:modified xsi:type="dcterms:W3CDTF">2026-08-13T09:50:25.697Z</dcterms:modified>
</cp:coreProperties>
</file>

<file path=docProps/custom.xml><?xml version="1.0" encoding="utf-8"?>
<Properties xmlns="http://schemas.openxmlformats.org/officeDocument/2006/custom-properties" xmlns:vt="http://schemas.openxmlformats.org/officeDocument/2006/docPropsVTypes"/>
</file>