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מען הנתבעת: 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מען ב"כ: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w:t>
      </w:r>
    </w:p>
    <w:p>
      <w:pPr>
        <w:bidi w:val="1"/>
        <w:spacing w:lineRule="auto" w:line="360" w:after="120" w:before="0"/>
        <w:jc w:val="both"/>
      </w:pPr>
      <w:r>
        <w:rPr>
          <w:rFonts w:ascii="David" w:hAnsi="David" w:cs="David" w:eastAsia="David" w:hint="cs"/>
          <w:b w:val="0"/>
          <w:sz w:val="24"/>
          <w:szCs w:val="24"/>
          <w:u w:val="none"/>
          <w:rtl w:val="1"/>
          <w:lang w:bidi="he-IL"/>
        </w:rPr>
        <w:t>בכתב הגנה זה: "הדירה" היא הדירה שבכותרת;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אביה של הנתבעת, בעל החוזה, הלך לעולמו ביום 16.2.2024. הנתבעת סעדה אותו עד יומו האחרון, מתגוררת בדירה מאז, והתובעת עותרת לסלקה מן הדירה בטענה כי "פלשה" אליה.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 xml:space="preserve">ראשית, ולב העניין: </w:t>
      </w:r>
      <w:r>
        <w:rPr>
          <w:rFonts w:ascii="David" w:hAnsi="David" w:cs="David" w:eastAsia="David" w:hint="cs"/>
          <w:b/>
          <w:bCs w:val="1"/>
          <w:sz w:val="24"/>
          <w:szCs w:val="24"/>
          <w:u w:val="single"/>
          <w:rtl w:val="1"/>
          <w:lang w:bidi="he-IL"/>
        </w:rPr>
        <w:t>תבחיני הזכאות לא נבדקו כלל</w:t>
      </w:r>
      <w:r>
        <w:rPr>
          <w:rFonts w:ascii="David" w:hAnsi="David" w:cs="David" w:eastAsia="David" w:hint="cs"/>
          <w:b w:val="0"/>
          <w:sz w:val="24"/>
          <w:szCs w:val="24"/>
          <w:u w:val="none"/>
          <w:rtl w:val="1"/>
          <w:lang w:bidi="he-IL"/>
        </w:rPr>
        <w:t>. בפרוטוקול קבועה טבלה שבה נדרש סגן מנהל מרכז השירות לציין את ממצאיו בסעיפי "חסר דירה", "מומש סיוע בשכ"ד", "כתובות" ו"גבולות".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הטבלה נותרה, בכל שורותיה, ללא כל סימון; שם סגן המנהל וחתימתו נותרו ריקים אף הם.</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משכך, הקביעה שבסעיף 19 לכתב התביעה, ולפיה לא עמדה הנתבעת בנטל התבחינים המצטברים, אינה קביעה אלא הנחה; הנטל מוטל על התובעת, ולא הורם, שכן התבחינים מעולם לא נבדקו.</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שנית, לא נערך שימוע, לא מולא שדה הנימוקים ולא בוצעה המצאה. אין בפרוטוקול זכר לכך שהנתבעת זומנה, נשמעה או יוצגה.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השדה "נימוקים והמלצות" נותר ריק כליל, וכל שנרשם תחת "החלטת הוועדה המחוזית" הן שתי שורות בכתב יד, שאינן מתייחסות לאיזה מן התבחינים.</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לא הוצגה כל ראיה כי ההחלטה הומצאה לנתבעת או כי הועמדה על זכותה להשיג עליה.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שלישית, הדרישה שעל גבי הפרוטוקול יושמה בלא בירור. מודפסת בו הדרישה לביקורי מעגל לדייר הממשיך "מתאריך 1.8.09 ועד מועד הבקשה ולא פחות מ-4 שנות מגורים רצופות".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הוועדה קבעה כי הנתבעת אינה עומדת בדרישה זו בלא שנשמעה ראיה אחת ובלא שנבדקה עובדה אחת: לא נבדק היכן התגוררה ומתי, לא נבחנו תקופות מגוריה בפועל ולא הוערך טיבן.</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קביעה כזו, אוטומטית ובלא בירור, חורגת ממתחם הסבירות.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החלטה מנהלית הפוגעת בזכות לקורת גג, שהתקבלה בלא בדיקה, בלא שימוע, בלא הנמקה ובלא המצאה,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הנתבעת גדלה בדירה, נכנסה אליה ברשות אביה, שבה להתגורר בה כדי לסעוד אותו בחודשים שקדמו לפטירתו, ונותרה בה לאחר מכן.</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מי שאלה נסיבות כניסתה אינה "פולשת"; לכל היותר עסקינן בבת-רשות שרישיונה פקע, על כל המשתמע מכך לעניין הסעד ולשיקולי הצדק.</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יצוין כי המשבצת "חשש לנטישה/נטישה/פלישה" שבטופסי הביקור לא סומנה מעולם; וכי התובעת הוסיפה לנהל את חשבון הדירה כחשבון פעיל ולזקוף בו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שלא כדין. הדירה היא ביתה היחיד; אין לה דירה בבעלותה ומעולם לא היתה לה.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נסיבות מגוריה מפורטות בחלק השלישי להלן, במלואן ובלא כחל ושרק; ולמען הזהירות תטען הנתבעת לחלופין כי היא באה בגדר דייר ממשיך, ולמצער כי השאלה לא נבדקה מעולם ומקומה להתברר בראיות.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 xml:space="preserve">שנית, ובניגוד לנטען בסעיפים 10, 18 ו-19, </w:t>
      </w:r>
      <w:r>
        <w:rPr>
          <w:rFonts w:ascii="David" w:hAnsi="David" w:cs="David" w:eastAsia="David" w:hint="cs"/>
          <w:b/>
          <w:bCs w:val="1"/>
          <w:sz w:val="24"/>
          <w:szCs w:val="24"/>
          <w:u w:val="single"/>
          <w:rtl w:val="1"/>
          <w:lang w:bidi="he-IL"/>
        </w:rPr>
        <w:t>התובעת לא בחנה את עניינה של הנתבעת כלל</w:t>
      </w:r>
      <w:r>
        <w:rPr>
          <w:rFonts w:ascii="David" w:hAnsi="David" w:cs="David" w:eastAsia="David" w:hint="cs"/>
          <w:b w:val="0"/>
          <w:sz w:val="24"/>
          <w:szCs w:val="24"/>
          <w:u w:val="none"/>
          <w:rtl w:val="1"/>
          <w:lang w:bidi="he-IL"/>
        </w:rPr>
        <w:t>. היא לא בדקה היכן התגוררה ומתי, לא זימנה אותה, לא שמעה אותה ולא סימנה ולו תבחין אחד.</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אין בהחלטה שכך נתקבלה כדי לקבוע דבר, ומשבטלה, שומה על התובעת לשוב ולבחון את העניין מן היסוד.</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שלישית, המחלקה לשירותים חברתיים בעיריית פתח תקווה ביקשה בכתב להימנע מהוצאת הנתבעת מן הדירה.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אישה נכה בשיעור 100%, המוכרת ברווחה, שסעדה את אביה עד מותו ואין לה קורת גג אחרת, מקיימת לכאורה עילה לבחינה בפני הוועדה המוסמכת לבחינת מקרים חריגים; בחינה שמעולם לא נערכה.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המבקשת להוציא אדם מביתו על יסוד החלטה שהתקבלה בלא שנבדק דבר.</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לחלופין בלבד, ומבלי לגרוע מן הטענה כי ההחלטה בטלה, מתבקש בית המשפט הנכבד להורות כי לא יינתן צו פינוי בטרם יובא עניינה של הנתבעת בפני הוועדה המוסמכת לבחינת מקרים חריגים, ובטרם תוסדר לה חלופת דיור הולמת.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כן מתבקש בית המשפט הנכבד לעכב את בירור התביעה עד למיצוי אותו הליך. פינויה של אישה נכה בשיעור 100%, כעולה מנספח ב', מביתה היחיד אינו עולה בקנה אחד עם חוק-יסוד: כבוד האדם וחירותו.</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ולחלופי חלופין, מתבקש בית המשפט הנכבד לעכב את ביצוע הפינוי לתקופה משמעותית.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המנוח, יליד 1943, עלה לישראל מאתיופיה בשנת 1991, והלך לעולמו ביום 16.2.2024. תעודת הפטירה שצורפה כנספח 3 נשלחה, לפי הרשום על גביה, אל הנתבעת בכתובת הדירה.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נסיבות מגוריה של הנתבעת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הנתבעת גדלה בדירה והתגוררה בה מילדותה. בשנים מאוחרות יותר, על רקע מתח וקשיים ששררו בינה לבין אביה, מצבה האישי והיותו אדם נוקשה, התקשתה להתגורר עמו ברציפות.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בנסיבות אלה החזיקה הנתבעת דירה שכורה בסמוך לדירת אביה, כדי שיהיה בידה מקום לינה נפרד.</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הנתבעת לא נטשה את אביה ולא חדלה מלבקרו: היא הגיעה אליו בתדירות גבוהה, סייעה לו, הכינה עבורו אוכל ודאגה לצרכיו.</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הנתבעת הייתה קשורה בחוזה שכירות עד לחודש יולי 2024, אולם עזבה את הדירה השכורה כשבעה חודשים קודם לכן, בסמוך לחודש דצמבר 2023, ועברה לשהות לצד אביה ולסעוד אותו בתקופה שקדמה לפטירתו.</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מאז הפטירה מתגוררת הנתבעת בדירה ברציפות, והדירה היא ביתה היחיד. אין לה דירה בבעלותה ומעולם לא היתה לה.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חוזה השכירות אינו מצוי בידי הנתבעת, ולמיטב ידיעתה הוא מצוי בידי המשכיר.</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דבר מכל אלה לא נבדק בידי התובעת מעולם.</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התובעת סומכת את תביעתה על טופסי הביקור, שמילאו נציגיה לצרכיה, ואלה אינם יכולים לשאת את המסקנה המבוקשת מהם.</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בטופס מיום 18.12.2023, האחרון בחיי המנוח, נרשם: "נקבע מספר פעמים ביקור בית, הדייר אומר אני אהיה בבית, לא נמצא".</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ביקור שבו לא נמצא הדייר אינו יכול ללמד על זהות המתגוררים בדירה, וחרף זאת הוטבעה עליו חותמת "מסרב לחתום".</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בטופס מיום 3.7.2024, הביקור היחיד שנערך לאחר הפטירה, נרשם בשדה ההערות: "דייר חוזי נפטר , ביקור עם הבת עדן טדלה" [כך במקור].</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 xml:space="preserve">"עדן"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נציגת התובעת עצמה, אפוא, מצאה את הנתבעת מתגוררת בדירה ורשמה זאת בזמן אמת, ברישום מנהלי מטעם התובעת.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הנתבעת אינה מכחישה את קיומן של ההצהרות. אלו טפסים אחידים שנוסחו בידי התובעת ונחתמו בידי המנוח, לא בידי הנתבעת.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ההצהרות מתייחסות למועדים שבהם נחתמו, ואין בהן כדי ללמד על התקופה שקדמה לפטירה.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ותניה שבהצהרה, שתכליתה לשלול מראש מקרובי המנוח את מעמד הדייר הממשיך, אינה יכולה לעמוד.</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זכות סטטוטורית של מי שאינו חתום על הטופס אינה ניתנת לוויתור בידי החותם, ולו מטעמי תקנת הציבור שבסעיף 30 לחוק החוזים (חלק כללי), התשל"ג-1973.</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בחודש יולי 2026 פנתה המחלקה לשירותים חברתיים "ירקון" שבעיריית פתח תקווה במכתב שעניינו הנתבעת (נספח א'), המוכרת באותה מחלקה כנתמכת (נספח ג').</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 xml:space="preserve">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w:t>
      </w:r>
      <w:r>
        <w:rPr>
          <w:rFonts w:ascii="David" w:hAnsi="David" w:cs="David" w:eastAsia="David" w:hint="cs"/>
          <w:b w:val="0"/>
          <w:sz w:val="24"/>
          <w:szCs w:val="24"/>
          <w:u w:val="none"/>
          <w:rtl w:val="1"/>
          <w:lang w:bidi="he-IL"/>
        </w:rPr>
        <w:t xml:space="preserve"> בה מתגוררת מזה 30 שנה" [ההדגשה של הח"מ].</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הנטען בסעיפים 1, 5, 6, 7, 13 ו-17 אינו מוכחש.</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הנטען בסעיפים 3, 4, 23 ו-24 מוכחש; אין התובעת זכאית לסעד כלשהו, וממילא לא להוצאות מוגברות.</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ביחס לסעיף 18: אין הכחשה לעצם קיומו של המסמך שבנספח 4, ומוכחש כי המדובר בהחלטה שנתקבלה כדין.</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הנטען בסעיפים 16 ו-19 מוכחש: אין הכחשה לקיומם של הטפסים וההצהרות, אך המסקנה המבוקשת מהם מוכחשת כמפורט לעיל.</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אשר על כן, מתבקש בית המשפט הנכבד לדחות את התביעה במלואה ולחייב את התובעת בהוצאות המשפט ובשכר טרחת עו"ד.</w:t>
      </w:r>
    </w:p>
    <w:p>
      <w:pPr>
        <w:numPr>
          <w:ilvl w:val="0"/>
          <w:numId w:val="77"/>
        </w:numPr>
        <w:bidi w:val="1"/>
        <w:spacing w:lineRule="auto" w:line="360" w:after="80" w:before="0"/>
        <w:jc w:val="both"/>
      </w:pPr>
      <w:r>
        <w:rPr>
          <w:rFonts w:ascii="David" w:hAnsi="David" w:cs="David" w:eastAsia="David" w:hint="cs"/>
          <w:b w:val="0"/>
          <w:sz w:val="24"/>
          <w:szCs w:val="24"/>
          <w:u w:val="none"/>
          <w:rtl w:val="1"/>
          <w:lang w:bidi="he-IL"/>
        </w:rPr>
        <w:t>לחלופין, וככל שלא תידחה התביעה במלואה, מתבקש בית המשפט הנכבד ליתן את הסעדים המפורטים בחלק השני לעיל.</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lef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2026-09-02T16:06:17Z</dcterms:created>
  <dcterms:modified xsi:type="dcterms:W3CDTF">2026-09-02T16:06:17Z</dcterms:modified>
  <cp:category/>
</cp:coreProperties>
</file>