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לפי תקנה 30: יום __________.</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ברח' צה"ל 72/6, פתח תקווה;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 xml:space="preserve">ראשית, הוחל מבחן מחמיר מזה שקבע המחוקק.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סעיף 1 לחוק זכויות הדייר בדיור הציבורי, התשנ"ח-1998, נוקב בשלוש שנים בסמוך למועד הפטירה. רשות המחילה על אדם מבחן מחמיר מזה שקבע המחוקק, החלטתה אינה יכולה לעמוד.</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מי שערך את התשתית העובדתית ומי שהכריע על פיה באים מאותו מרכז שירות. החלטה מנהלית הפוגעת בזכות לקורת גג, שהתקבלה כך, בטלה, ובית המשפט הנכבד מתבקש לקבוע כן בדרך של תקיפה עקיפה.</w:t>
      </w:r>
    </w:p>
    <w:p>
      <w:pPr>
        <w:keepNext w:val="1"/>
        <w:keepLines w:val="1"/>
        <w:bidi w:val="1"/>
        <w:spacing w:lineRule="auto" w:line="360" w:after="80" w:before="12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ולעניין שיקולי הצדק. יצוין כי בטופסי "בדיקת אכלוס וגבייה" מצויה משבצת שכותרתה "חשש לנטישה/נטישה/פלישה", ובאף אחד מהם לא הוקף סימון; וכי התובעת הוסיפה לנהל את חשבון הדירה כחשבון פעיל ולזקוף הנחת מדרוג שתוקפה עד ליום 30.9.2024, חודשים לאחר הפטירה.</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ואין לה דירה אחרת. משכך, ובניגוד לנטען בסעיפים 10, 18 ו-19, היא בתו של הזכאי ובאה בגדר "דייר ממשיך" כהגדרתו בסעיף 1 לחוק.</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(ואין זה המצב), מחייבות נסיבותיה בחינה בפני הוועדה המוסמכת לבחינת מקרים חריגים בטרם יינתן סעד של פינוי.</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שהחילה מבחן מחמיר מזה שבדין, שלא בדקה את התבחינים ולא קיימה שימוע.</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לחלופין, מתבקש בית המשפט הנכבד להורות כי לא יינתן צו פינוי בטרם יובא עניינה של הנתבעת בפני הוועדה המוסמכת לבחינת מקרים חריגים, ובטרם תוסדר לה חלופת דיור הולמת. פינוי אישה נכה בשיעור 100% מביתה היחיד אינו עולה בקנה אחד עם חוק-יסוד: כבוד האדם וחירותו ועם תכליתו של חוק זכויות הדייר בדיור הציבורי. ולחלופי חלופין, לעכב את ביצוע הפינוי לתקופה משמעותית. אשר לעתירה להוצאות מוגברות, דינה להידחות.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המודפס בשדה "תאריך אכלוס" בכל אחד מטופסי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עם אביה שנים ארוכות עובר לפטירתו, ובכללן שלוש השנים שקדמו לה, ומוסיפה להתגורר בה.</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התובעת סומכת את תביעתה על טופסי הביקור. אלו טפסים שמילאו נציגיה לצרכיה, והם סותרים זה את זה. בטופס מיום 3.8.2020 נרשם בשדה "גר/ה בגפו/ה": "לא". זהו רישום של התובעת עצמה, בזמן אמת, ולפיו המנוח לא התגורר בדירה לבדו. בטופס מיום 21.10.2021 נותרו המשבצות שליד אותה שאלה ריקות; ובטופס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בטופס מיום 3.7.2024, הביקור היחיד שנערך לאחר הפטירה, נרשם בשדה ההערות: "דייר חוזי נפטר , ביקור עם הבת עדן טדלה" [כך במקור]. בהתאם לכך סומן בטבלה שבפרוטוקול, בשורת אותו ביקור, כי דייר ממשיך מתגורר בדירה; ובאותה שורה עצמה סומן כי גם הדייר החוזי מתגורר בה, אדם שנפטר ארבעה חודשים וחצי קודם לכן. הנתבעת תטען כי תהא זהות הבת אשר תהא, רישום זה נטול ערך ראייתי בשני מובניו.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והחלופות מעולם לא נמחקו. הן נגבו אגב ביקורי הגבייה, באותם מעמדים שבהם נקבעו הנחת המדרוג ומועד סיומה שבהם היה המנוח תלוי; ובטופס משנת 2010 נרשם כי הביקור נערך באמהרית, בעוד ששדה "נכח מתורגם" נותר ריק.</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המצ"ב ומסומן כנספח א'.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שתוכנו מדבר בעד עצמו,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2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להורות כי לא יינתן צו פינוי בטרם יובא עניינה של הנתבעת בפני הוועדה המוסמכת לבחינת מקרים חריגים ובטרם תוסדר לה חלופת דיור הולמת; ולחלופי חלופין, לעכב את ביצוע הפינוי לתקופה משמעותית; ולחייב את התובעת בהוצאות ובשכ"ט עו"ד.</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ביטוח לאומי בדבר נכות הנתבעת. [להשלמה]</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ייפוי כוח מטעם הנתבעת, לפי תקנה 9(ה).</w:t>
      </w: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2026-08-12T06:49:39Z</dcterms:created>
  <dcterms:modified xsi:type="dcterms:W3CDTF">2026-08-12T06:49:39Z</dcterms:modified>
  <cp:category/>
</cp:coreProperties>
</file>