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David" w:cs="David" w:eastAsia="David" w:hAnsi="David"/>
          <w:b/>
          <w:bCs/>
          <w:sz w:val="28"/>
          <w:szCs w:val="28"/>
          <w:rtl/>
        </w:rPr>
        <w:t xml:space="preserve">תרגום מאמהרית לעברית</w:t>
      </w:r>
    </w:p>
    <w:p>
      <w:pPr>
        <w:bidi/>
        <w:spacing w:after="40"/>
        <w:jc w:val="center"/>
      </w:pPr>
      <w:r>
        <w:rPr>
          <w:rFonts w:ascii="David" w:cs="David" w:eastAsia="David" w:hAnsi="David"/>
          <w:sz w:val="24"/>
          <w:szCs w:val="24"/>
          <w:rtl/>
        </w:rPr>
        <w:t xml:space="preserve">[חותמת:] ממשל העיר אדיס אבבה</w:t>
      </w:r>
    </w:p>
    <w:p>
      <w:pPr>
        <w:bidi/>
        <w:spacing w:after="300"/>
        <w:jc w:val="center"/>
      </w:pPr>
      <w:r>
        <w:rPr>
          <w:rFonts w:ascii="David" w:cs="David" w:eastAsia="David" w:hAnsi="David"/>
          <w:sz w:val="24"/>
          <w:szCs w:val="24"/>
          <w:rtl/>
        </w:rPr>
        <w:t xml:space="preserve">בית משפט השלום של העיר אדיס אבבה</w:t>
      </w:r>
    </w:p>
    <w:p>
      <w:pPr>
        <w:bidi/>
        <w:spacing w:after="80" w:line="320"/>
        <w:jc w:val="start"/>
      </w:pPr>
      <w:r>
        <w:rPr>
          <w:rFonts w:ascii="David" w:cs="David" w:eastAsia="David" w:hAnsi="David"/>
          <w:b/>
          <w:bCs/>
          <w:sz w:val="24"/>
          <w:szCs w:val="24"/>
          <w:rtl/>
        </w:rPr>
        <w:t xml:space="preserve">מס' תיק: </w:t>
      </w:r>
      <w:r>
        <w:rPr>
          <w:rFonts w:ascii="David" w:cs="David" w:eastAsia="David" w:hAnsi="David"/>
          <w:sz w:val="24"/>
          <w:szCs w:val="24"/>
          <w:rtl/>
        </w:rPr>
        <w:t xml:space="preserve">1142/08</w:t>
      </w:r>
    </w:p>
    <w:p>
      <w:pPr>
        <w:bidi/>
        <w:spacing w:after="80" w:line="320"/>
        <w:jc w:val="start"/>
      </w:pPr>
      <w:r>
        <w:rPr>
          <w:rFonts w:ascii="David" w:cs="David" w:eastAsia="David" w:hAnsi="David"/>
          <w:b/>
          <w:bCs/>
          <w:sz w:val="24"/>
          <w:szCs w:val="24"/>
          <w:rtl/>
        </w:rPr>
        <w:t xml:space="preserve">תאריך: </w:t>
      </w:r>
      <w:r>
        <w:rPr>
          <w:rFonts w:ascii="David" w:cs="David" w:eastAsia="David" w:hAnsi="David"/>
          <w:sz w:val="24"/>
          <w:szCs w:val="24"/>
          <w:rtl/>
        </w:rPr>
        <w:t xml:space="preserve">8/2/2008 (לפי הלוח האתיופי)¹</w:t>
      </w:r>
    </w:p>
    <w:p>
      <w:pPr>
        <w:bidi/>
        <w:spacing w:after="80" w:line="320"/>
        <w:jc w:val="start"/>
      </w:pPr>
      <w:r>
        <w:rPr>
          <w:rFonts w:ascii="David" w:cs="David" w:eastAsia="David" w:hAnsi="David"/>
          <w:b/>
          <w:bCs/>
          <w:sz w:val="24"/>
          <w:szCs w:val="24"/>
          <w:rtl/>
        </w:rPr>
        <w:t xml:space="preserve">שופט: </w:t>
      </w:r>
      <w:r>
        <w:rPr>
          <w:rFonts w:ascii="David" w:cs="David" w:eastAsia="David" w:hAnsi="David"/>
          <w:sz w:val="24"/>
          <w:szCs w:val="24"/>
          <w:rtl/>
        </w:rPr>
        <w:t xml:space="preserve">דבבו אנדאלה²</w:t>
      </w:r>
    </w:p>
    <w:p>
      <w:pPr>
        <w:bidi/>
        <w:spacing w:after="80" w:line="320"/>
        <w:jc w:val="start"/>
      </w:pPr>
      <w:r>
        <w:rPr>
          <w:rFonts w:ascii="David" w:cs="David" w:eastAsia="David" w:hAnsi="David"/>
          <w:b/>
          <w:bCs/>
          <w:sz w:val="24"/>
          <w:szCs w:val="24"/>
          <w:rtl/>
        </w:rPr>
        <w:t xml:space="preserve">מבקשת: </w:t>
      </w:r>
      <w:r>
        <w:rPr>
          <w:rFonts w:ascii="David" w:cs="David" w:eastAsia="David" w:hAnsi="David"/>
          <w:sz w:val="24"/>
          <w:szCs w:val="24"/>
          <w:rtl/>
        </w:rPr>
        <w:t xml:space="preserve">גב' מלקאם אבבאו טקלה - התייצבה</w:t>
      </w:r>
    </w:p>
    <w:p>
      <w:pPr>
        <w:bidi/>
        <w:spacing w:after="80" w:line="320"/>
        <w:jc w:val="start"/>
      </w:pPr>
      <w:r>
        <w:rPr>
          <w:rFonts w:ascii="David" w:cs="David" w:eastAsia="David" w:hAnsi="David"/>
          <w:b/>
          <w:bCs/>
          <w:sz w:val="24"/>
          <w:szCs w:val="24"/>
          <w:rtl/>
        </w:rPr>
        <w:t xml:space="preserve">משיב: </w:t>
      </w:r>
      <w:r>
        <w:rPr>
          <w:rFonts w:ascii="David" w:cs="David" w:eastAsia="David" w:hAnsi="David"/>
          <w:sz w:val="24"/>
          <w:szCs w:val="24"/>
          <w:rtl/>
        </w:rPr>
        <w:t xml:space="preserve">אין</w:t>
      </w:r>
    </w:p>
    <w:p>
      <w:pPr>
        <w:bidi/>
        <w:spacing w:after="200" w:before="240"/>
        <w:jc w:val="both"/>
      </w:pPr>
      <w:r>
        <w:rPr>
          <w:rFonts w:ascii="David" w:cs="David" w:eastAsia="David" w:hAnsi="David"/>
          <w:sz w:val="24"/>
          <w:szCs w:val="24"/>
          <w:rtl/>
        </w:rPr>
        <w:t xml:space="preserve">בית המשפט עיין בתיק ונתן את ההחלטה הבאה:</w:t>
      </w:r>
    </w:p>
    <w:p>
      <w:pPr>
        <w:bidi/>
        <w:spacing w:after="200"/>
        <w:jc w:val="center"/>
      </w:pPr>
      <w:r>
        <w:rPr>
          <w:rFonts w:ascii="David" w:cs="David" w:eastAsia="David" w:hAnsi="David"/>
          <w:b/>
          <w:bCs/>
          <w:sz w:val="26"/>
          <w:szCs w:val="26"/>
          <w:u w:val="single"/>
          <w:rtl/>
        </w:rPr>
        <w:t xml:space="preserve">החלטה</w:t>
      </w:r>
    </w:p>
    <w:p>
      <w:pPr>
        <w:bidi/>
        <w:spacing w:after="160" w:line="320"/>
        <w:jc w:val="both"/>
      </w:pPr>
      <w:r>
        <w:rPr>
          <w:rFonts w:ascii="David" w:cs="David" w:eastAsia="David" w:hAnsi="David"/>
          <w:sz w:val="24"/>
          <w:szCs w:val="24"/>
          <w:rtl/>
        </w:rPr>
        <w:t xml:space="preserve">המבקשת, בבקשה שהגישה ביום 5/2/2008 לפי הלוח האתיופי¹, ציינה כי מאחר שהיא נקראת בשני שמות, "מלקאם" ו"פיורלה", היא מבקשת כי יוחלט שתחדל להיקרא "מלקאם" ותיקרא "פיורלה". בהתאם לנדרש בסעיף 38(1) לחוק האזרחי, אישרה המבקשת בתצהיר כי אין במשפחתה אדם הנקרא בשם שביקשה כי ישונה לה.</w:t>
      </w:r>
    </w:p>
    <w:p>
      <w:pPr>
        <w:bidi/>
        <w:spacing w:after="160" w:line="320"/>
        <w:jc w:val="both"/>
      </w:pPr>
      <w:r>
        <w:rPr>
          <w:rFonts w:ascii="David" w:cs="David" w:eastAsia="David" w:hAnsi="David"/>
          <w:sz w:val="24"/>
          <w:szCs w:val="24"/>
          <w:rtl/>
        </w:rPr>
        <w:t xml:space="preserve">בית המשפט בחן את בקשת המבקשת. על פי החוק האתיופי, נקבע במפורש בסעיף 43 לחוק האזרחי כי לאדם יכולים להיות יותר משם פרטי אחד, וכי כאשר אותו אדם מבקש זאת, ניתן להתיר לו לבטל אחד או יותר משמותיו הפרטיים.</w:t>
      </w:r>
    </w:p>
    <w:p>
      <w:pPr>
        <w:bidi/>
        <w:spacing w:after="160" w:line="320"/>
        <w:jc w:val="both"/>
      </w:pPr>
      <w:r>
        <w:rPr>
          <w:rFonts w:ascii="David" w:cs="David" w:eastAsia="David" w:hAnsi="David"/>
          <w:sz w:val="24"/>
          <w:szCs w:val="24"/>
          <w:rtl/>
        </w:rPr>
        <w:t xml:space="preserve">לאור האמור, מאחר שנמצא כי בקשת המבקשת הוגשה כדין, בית המשפט מקבל את הבקשה ומחליט כי החל מיום מתן החלטה זו, המבקשת תחדל להיקרא </w:t>
      </w:r>
      <w:r>
        <w:rPr>
          <w:rFonts w:ascii="David" w:cs="David" w:eastAsia="David" w:hAnsi="David"/>
          <w:b/>
          <w:bCs/>
          <w:sz w:val="24"/>
          <w:szCs w:val="24"/>
          <w:rtl/>
        </w:rPr>
        <w:t xml:space="preserve">מלקאם אבבאו טקלה</w:t>
      </w:r>
      <w:r>
        <w:rPr>
          <w:rFonts w:ascii="David" w:cs="David" w:eastAsia="David" w:hAnsi="David"/>
          <w:sz w:val="24"/>
          <w:szCs w:val="24"/>
          <w:rtl/>
        </w:rPr>
        <w:t xml:space="preserve"> ותיקרא </w:t>
      </w:r>
      <w:r>
        <w:rPr>
          <w:rFonts w:ascii="David" w:cs="David" w:eastAsia="David" w:hAnsi="David"/>
          <w:b/>
          <w:bCs/>
          <w:sz w:val="24"/>
          <w:szCs w:val="24"/>
          <w:rtl/>
        </w:rPr>
        <w:t xml:space="preserve">פיורלה אבבאו טקלה</w:t>
      </w:r>
      <w:r>
        <w:rPr>
          <w:rFonts w:ascii="David" w:cs="David" w:eastAsia="David" w:hAnsi="David"/>
          <w:sz w:val="24"/>
          <w:szCs w:val="24"/>
          <w:rtl/>
        </w:rPr>
        <w:t xml:space="preserve">.</w:t>
      </w:r>
    </w:p>
    <w:p>
      <w:pPr>
        <w:bidi/>
        <w:spacing w:after="200" w:before="200"/>
        <w:jc w:val="center"/>
      </w:pPr>
      <w:r>
        <w:rPr>
          <w:rFonts w:ascii="David" w:cs="David" w:eastAsia="David" w:hAnsi="David"/>
          <w:b/>
          <w:bCs/>
          <w:sz w:val="26"/>
          <w:szCs w:val="26"/>
          <w:u w:val="single"/>
          <w:rtl/>
        </w:rPr>
        <w:t xml:space="preserve">צו</w:t>
      </w:r>
    </w:p>
    <w:p>
      <w:pPr>
        <w:bidi/>
        <w:spacing w:after="80"/>
        <w:jc w:val="both"/>
      </w:pPr>
      <w:r>
        <w:rPr>
          <w:rFonts w:ascii="David" w:cs="David" w:eastAsia="David" w:hAnsi="David"/>
          <w:sz w:val="24"/>
          <w:szCs w:val="24"/>
          <w:rtl/>
        </w:rPr>
        <w:t xml:space="preserve">העתק ההחלטה יינתן למבקשת.</w:t>
      </w:r>
    </w:p>
    <w:p>
      <w:pPr>
        <w:bidi/>
        <w:spacing w:after="300"/>
        <w:jc w:val="both"/>
      </w:pPr>
      <w:r>
        <w:rPr>
          <w:rFonts w:ascii="David" w:cs="David" w:eastAsia="David" w:hAnsi="David"/>
          <w:sz w:val="24"/>
          <w:szCs w:val="24"/>
          <w:rtl/>
        </w:rPr>
        <w:t xml:space="preserve">התיק נסגר. יוחזר לארכיון.</w:t>
      </w:r>
    </w:p>
    <w:p>
      <w:pPr>
        <w:bidi/>
        <w:spacing w:after="80"/>
        <w:jc w:val="start"/>
      </w:pPr>
      <w:r>
        <w:rPr>
          <w:rFonts w:ascii="David" w:cs="David" w:eastAsia="David" w:hAnsi="David"/>
          <w:sz w:val="24"/>
          <w:szCs w:val="24"/>
          <w:rtl/>
        </w:rPr>
        <w:t xml:space="preserve">[חתימת השופט]</w:t>
      </w:r>
    </w:p>
    <w:p>
      <w:pPr>
        <w:bidi/>
        <w:spacing w:after="200"/>
        <w:jc w:val="start"/>
      </w:pPr>
      <w:r>
        <w:rPr>
          <w:rFonts w:ascii="David" w:cs="David" w:eastAsia="David" w:hAnsi="David"/>
          <w:sz w:val="24"/>
          <w:szCs w:val="24"/>
          <w:rtl/>
        </w:rPr>
        <w:t xml:space="preserve">[חותמת עגולה:] ממשל העיר אדיס אבבה - בית משפט השלום של העיר אדיס אבבה</w:t>
      </w:r>
    </w:p>
    <w:p>
      <w:pPr>
        <w:pBdr>
          <w:bottom w:val="single" w:color="808080" w:sz="6" w:space="1"/>
        </w:pBdr>
        <w:bidi/>
        <w:spacing w:after="200"/>
      </w:pPr>
    </w:p>
    <w:p>
      <w:pPr>
        <w:bidi/>
        <w:spacing w:after="120"/>
        <w:jc w:val="start"/>
      </w:pPr>
      <w:r>
        <w:rPr>
          <w:rFonts w:ascii="David" w:cs="David" w:eastAsia="David" w:hAnsi="David"/>
          <w:b/>
          <w:bCs/>
          <w:sz w:val="22"/>
          <w:szCs w:val="22"/>
          <w:rtl/>
        </w:rPr>
        <w:t xml:space="preserve">הערות המתרגם</w:t>
      </w:r>
    </w:p>
    <w:p>
      <w:pPr>
        <w:pStyle w:val="ListParagraph"/>
        <w:numPr>
          <w:ilvl w:val="0"/>
          <w:numId w:val="2"/>
        </w:numPr>
        <w:bidi/>
        <w:spacing w:after="100" w:line="300"/>
        <w:jc w:val="both"/>
      </w:pPr>
      <w:r>
        <w:rPr>
          <w:rFonts w:ascii="David" w:cs="David" w:eastAsia="David" w:hAnsi="David"/>
          <w:sz w:val="20"/>
          <w:szCs w:val="20"/>
          <w:rtl/>
        </w:rPr>
        <w:t xml:space="preserve">¹ התאריכים במסמך המקור הם לפי הלוח האתיופי. 5/2/2008 מקביל בקירוב ל-16 באוקטובר 2015, ו-8/2/2008 מקביל בקירוב ל-19 באוקטובר 2015 לפי הלוח הגרגוריאני.</w:t>
      </w:r>
    </w:p>
    <w:p>
      <w:pPr>
        <w:pStyle w:val="ListParagraph"/>
        <w:numPr>
          <w:ilvl w:val="0"/>
          <w:numId w:val="2"/>
        </w:numPr>
        <w:bidi/>
        <w:spacing w:after="100" w:line="300"/>
        <w:jc w:val="both"/>
      </w:pPr>
      <w:r>
        <w:rPr>
          <w:rFonts w:ascii="David" w:cs="David" w:eastAsia="David" w:hAnsi="David"/>
          <w:sz w:val="20"/>
          <w:szCs w:val="20"/>
          <w:rtl/>
        </w:rPr>
        <w:t xml:space="preserve">² שם השופט, שם המבקשת, השמות "מלקאם" ו"פיורלה", מספר התיק והתאריכים נכתבו במקור בכתב יד. שם השופט אינו קריא במלואו, והתעתיק שלו אינו ודאי.</w:t>
      </w:r>
    </w:p>
    <w:p>
      <w:pPr>
        <w:pStyle w:val="ListParagraph"/>
        <w:numPr>
          <w:ilvl w:val="0"/>
          <w:numId w:val="2"/>
        </w:numPr>
        <w:bidi/>
        <w:spacing w:after="100" w:line="300"/>
        <w:jc w:val="both"/>
      </w:pPr>
      <w:r>
        <w:rPr>
          <w:rFonts w:ascii="David" w:cs="David" w:eastAsia="David" w:hAnsi="David"/>
          <w:sz w:val="20"/>
          <w:szCs w:val="20"/>
          <w:rtl/>
        </w:rPr>
        <w:t xml:space="preserve">מסמך המקור כולל חותמת כחולה בראש העמוד וחותמת עגולה בתחתיתו, של ממשל העיר אדיס אבבה ובית משפט השלום של העיר אדיס אבבה, וכן חתימה בכתב יד.</w:t>
      </w:r>
    </w:p>
    <w:p>
      <w:pPr>
        <w:pStyle w:val="ListParagraph"/>
        <w:numPr>
          <w:ilvl w:val="0"/>
          <w:numId w:val="2"/>
        </w:numPr>
        <w:bidi/>
        <w:spacing w:after="100" w:line="300"/>
        <w:jc w:val="both"/>
      </w:pPr>
      <w:r>
        <w:rPr>
          <w:rFonts w:ascii="David" w:cs="David" w:eastAsia="David" w:hAnsi="David"/>
          <w:sz w:val="20"/>
          <w:szCs w:val="20"/>
          <w:rtl/>
        </w:rPr>
        <w:t xml:space="preserve">"החוק האזרחי" הוא החוק האזרחי של אתיופיה.</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2026-10-15T09:39:56.465Z</dcterms:created>
  <dcterms:modified xsi:type="dcterms:W3CDTF">2026-10-15T09:39:56.466Z</dcterms:modified>
</cp:coreProperties>
</file>

<file path=docProps/custom.xml><?xml version="1.0" encoding="utf-8"?>
<Properties xmlns="http://schemas.openxmlformats.org/officeDocument/2006/custom-properties" xmlns:vt="http://schemas.openxmlformats.org/officeDocument/2006/docPropsVTypes"/>
</file>