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line="360" w:lineRule="auto"/>
        <w:jc w:val="center"/>
      </w:pPr>
      <w:r>
        <w:rPr>
          <w:rFonts w:ascii="David" w:cs="David" w:eastAsia="David" w:hAnsi="David"/>
          <w:b/>
          <w:bCs/>
          <w:i w:val="false"/>
          <w:iCs w:val="false"/>
          <w:sz w:val="32"/>
          <w:szCs w:val="32"/>
          <w:u w:val="single"/>
          <w:rtl/>
        </w:rPr>
        <w:t xml:space="preserve">מזכר פנימי - ניתוח הגנה ראשוני</w:t>
      </w:r>
    </w:p>
    <w:p>
      <w:pPr>
        <w:bidi/>
        <w:spacing w:after="240" w:line="360" w:lineRule="auto"/>
        <w:jc w:val="center"/>
      </w:pPr>
      <w:r>
        <w:rPr>
          <w:rFonts w:ascii="David" w:cs="David" w:eastAsia="David" w:hAnsi="David"/>
          <w:b/>
          <w:bCs/>
          <w:i w:val="false"/>
          <w:iCs w:val="false"/>
          <w:sz w:val="26"/>
          <w:szCs w:val="26"/>
          <w:rtl/>
        </w:rPr>
        <w:t xml:space="preserve">כתב אישום: תאונת דרכים בצומת נחל חדרה מזרח (כביש 65 / כביש 4), 16.03.2026</w:t>
      </w:r>
    </w:p>
    <w:p>
      <w:pPr>
        <w:bidi/>
        <w:spacing w:after="120" w:line="360" w:lineRule="auto"/>
        <w:jc w:val="both"/>
      </w:pPr>
      <w:r>
        <w:rPr>
          <w:rFonts w:ascii="David" w:cs="David" w:eastAsia="David" w:hAnsi="David"/>
          <w:b/>
          <w:bCs/>
          <w:i w:val="false"/>
          <w:iCs w:val="false"/>
          <w:sz w:val="24"/>
          <w:szCs w:val="24"/>
          <w:rtl/>
        </w:rPr>
        <w:t xml:space="preserve">סיווג: </w:t>
      </w:r>
      <w:r>
        <w:rPr>
          <w:rFonts w:ascii="David" w:cs="David" w:eastAsia="David" w:hAnsi="David"/>
          <w:b w:val="false"/>
          <w:bCs w:val="false"/>
          <w:i w:val="false"/>
          <w:iCs w:val="false"/>
          <w:sz w:val="24"/>
          <w:szCs w:val="24"/>
          <w:rtl/>
        </w:rPr>
        <w:t xml:space="preserve">חסוי. חומר הכנה לייצוג משפטי, לשימוש הסניגור בלבד.</w:t>
      </w:r>
    </w:p>
    <w:p>
      <w:pPr>
        <w:bidi/>
        <w:spacing w:after="120" w:line="360" w:lineRule="auto"/>
        <w:jc w:val="both"/>
      </w:pPr>
      <w:r>
        <w:rPr>
          <w:rFonts w:ascii="David" w:cs="David" w:eastAsia="David" w:hAnsi="David"/>
          <w:b/>
          <w:bCs/>
          <w:i w:val="false"/>
          <w:iCs w:val="false"/>
          <w:sz w:val="24"/>
          <w:szCs w:val="24"/>
          <w:rtl/>
        </w:rPr>
        <w:t xml:space="preserve">שלב ההליך: </w:t>
      </w:r>
      <w:r>
        <w:rPr>
          <w:rFonts w:ascii="David" w:cs="David" w:eastAsia="David" w:hAnsi="David"/>
          <w:b w:val="false"/>
          <w:bCs w:val="false"/>
          <w:i w:val="false"/>
          <w:iCs w:val="false"/>
          <w:sz w:val="24"/>
          <w:szCs w:val="24"/>
          <w:rtl/>
        </w:rPr>
        <w:t xml:space="preserve">טרם התקיימה הקראה. טרם נמסר מענה לאישום.</w:t>
      </w:r>
    </w:p>
    <w:p>
      <w:pPr>
        <w:bidi/>
        <w:spacing w:after="120" w:line="360" w:lineRule="auto"/>
        <w:jc w:val="both"/>
      </w:pPr>
      <w:r>
        <w:rPr>
          <w:rFonts w:ascii="David" w:cs="David" w:eastAsia="David" w:hAnsi="David"/>
          <w:b/>
          <w:bCs/>
          <w:i w:val="false"/>
          <w:iCs w:val="false"/>
          <w:sz w:val="24"/>
          <w:szCs w:val="24"/>
          <w:rtl/>
        </w:rPr>
        <w:t xml:space="preserve">בסיס המזכר: </w:t>
      </w:r>
      <w:r>
        <w:rPr>
          <w:rFonts w:ascii="David" w:cs="David" w:eastAsia="David" w:hAnsi="David"/>
          <w:b w:val="false"/>
          <w:bCs w:val="false"/>
          <w:i w:val="false"/>
          <w:iCs w:val="false"/>
          <w:sz w:val="24"/>
          <w:szCs w:val="24"/>
          <w:rtl/>
        </w:rPr>
        <w:t xml:space="preserve">עמוד העובדות של כתב האישום בלבד. חומר החקירה טרם התקבל. גרסת הנאשמת טרם נגבתה.</w:t>
      </w:r>
    </w:p>
    <w:p>
      <w:pPr>
        <w:bidi/>
        <w:spacing w:after="120" w:line="360" w:lineRule="auto"/>
        <w:jc w:val="both"/>
      </w:pPr>
      <w:r>
        <w:rPr>
          <w:rFonts w:ascii="David" w:cs="David" w:eastAsia="David" w:hAnsi="David"/>
          <w:b/>
          <w:bCs/>
          <w:i w:val="false"/>
          <w:iCs w:val="false"/>
          <w:sz w:val="24"/>
          <w:szCs w:val="24"/>
          <w:rtl/>
        </w:rPr>
        <w:t xml:space="preserve">תאריך: </w:t>
      </w:r>
      <w:r>
        <w:rPr>
          <w:rFonts w:ascii="David" w:cs="David" w:eastAsia="David" w:hAnsi="David"/>
          <w:b w:val="false"/>
          <w:bCs w:val="false"/>
          <w:i w:val="false"/>
          <w:iCs w:val="false"/>
          <w:sz w:val="24"/>
          <w:szCs w:val="24"/>
          <w:rtl/>
        </w:rPr>
        <w:t xml:space="preserve">08.09.2026</w:t>
      </w:r>
    </w:p>
    <w:p>
      <w:pPr>
        <w:keepNext/>
        <w:bidi/>
        <w:spacing w:after="120" w:before="360" w:line="360" w:lineRule="auto"/>
        <w:jc w:val="start"/>
      </w:pPr>
      <w:r>
        <w:rPr>
          <w:rFonts w:ascii="David" w:cs="David" w:eastAsia="David" w:hAnsi="David"/>
          <w:b/>
          <w:bCs/>
          <w:i w:val="false"/>
          <w:iCs w:val="false"/>
          <w:sz w:val="26"/>
          <w:szCs w:val="26"/>
          <w:u w:val="single"/>
          <w:rtl/>
        </w:rPr>
        <w:t xml:space="preserve">א. תמצית והמלצה בשורה אחת</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מוקד המאבק בתיק זה אינו שאלת האור האדום אלא </w:t>
      </w:r>
      <w:r>
        <w:rPr>
          <w:rFonts w:ascii="David" w:cs="David" w:eastAsia="David" w:hAnsi="David"/>
          <w:b/>
          <w:bCs/>
          <w:i w:val="false"/>
          <w:iCs w:val="false"/>
          <w:sz w:val="24"/>
          <w:szCs w:val="24"/>
          <w:rtl/>
        </w:rPr>
        <w:t xml:space="preserve">סעיף 5 לכתב האישום וסעיף 38 לפקודת התעבורה</w:t>
      </w:r>
      <w:r>
        <w:rPr>
          <w:rFonts w:ascii="David" w:cs="David" w:eastAsia="David" w:hAnsi="David"/>
          <w:b w:val="false"/>
          <w:bCs w:val="false"/>
          <w:i w:val="false"/>
          <w:iCs w:val="false"/>
          <w:sz w:val="24"/>
          <w:szCs w:val="24"/>
          <w:rtl/>
        </w:rPr>
        <w:t xml:space="preserve">. סעיף 38 הוא שהופך תאונת צומת שגרתית לעבירה שגוררת פסילה בפועל של שלושה חודשים לפחות, ומשם, בפרקטיקה, לפסילות ארוכות יותר. אם ניתן להוריד את רכיב "חבלה של ממש", התיק משנה את פניו.</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עד לקבלת חומר החקירה וגרסת הנאשמת, אין להשיב לאישום. יש להגיש מיד בקשה לעיון בחומר חקירה לפי סעיף 74 לחוק סדר הדין הפלילי [נוסח משולב], התשמ"ב-1982 (להלן: "חסד"פ"), ולבקש דחיית המענה.</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דעתי המקצועית, בכפוף לחומר: ברוב תיקי "אור ירוק מול אור ירוק" בצומת מרומזר, בלי ראיה אובייקטיבית (מצלמה, יומן בקר רמזור, שחזור פיזיקלי), הסיכוי לזיכוי מלא אינו גבוה, ובית המשפט נוטה להעדיף את גרסת הנהג שלא הואשם. לכן, אלא אם גרסת הנאשמת היא "ירוק" ויש לה עיגון אובייקטיבי, האסטרטגיה הריאלית היא ניהול משא ומתן ממוקד להסרת סעיף 38, ולא ניהול הוכחות מלא. הכרעה סופית בכך רק אחרי קבלת החומר.</w:t>
      </w:r>
    </w:p>
    <w:p>
      <w:pPr>
        <w:keepNext/>
        <w:bidi/>
        <w:spacing w:after="120" w:before="360" w:line="360" w:lineRule="auto"/>
        <w:jc w:val="start"/>
      </w:pPr>
      <w:r>
        <w:rPr>
          <w:rFonts w:ascii="David" w:cs="David" w:eastAsia="David" w:hAnsi="David"/>
          <w:b/>
          <w:bCs/>
          <w:i w:val="false"/>
          <w:iCs w:val="false"/>
          <w:sz w:val="26"/>
          <w:szCs w:val="26"/>
          <w:u w:val="single"/>
          <w:rtl/>
        </w:rPr>
        <w:t xml:space="preserve">ב. העובדות בכתב האישום ומה על התביעה להוכיח</w:t>
      </w:r>
    </w:p>
    <w:p>
      <w:pPr>
        <w:bidi/>
        <w:spacing w:after="120" w:line="360" w:lineRule="auto"/>
        <w:jc w:val="both"/>
      </w:pPr>
      <w:r>
        <w:rPr>
          <w:rFonts w:ascii="David" w:cs="David" w:eastAsia="David" w:hAnsi="David"/>
          <w:b w:val="false"/>
          <w:bCs w:val="false"/>
          <w:i w:val="false"/>
          <w:iCs w:val="false"/>
          <w:sz w:val="24"/>
          <w:szCs w:val="24"/>
          <w:rtl/>
        </w:rPr>
        <w:t xml:space="preserve">כתב האישום מייחס לנאשמת חמש קביעות עובדתיות. לכל אחת מהן נטל הוכחה על התביעה, מעבר לספק סביר, ולכל אחת נקודת תקיפה אפשרית:</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0"/>
        <w:gridCol w:w="3000"/>
        <w:gridCol w:w="2700"/>
        <w:gridCol w:w="2812"/>
      </w:tblGrid>
      <w:tr>
        <w:trPr>
          <w:tblHeader/>
        </w:trPr>
        <w:tc>
          <w:tcPr>
            <w:tcW w:type="dxa" w:w="560"/>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סעיף</w:t>
            </w:r>
          </w:p>
        </w:tc>
        <w:tc>
          <w:tcPr>
            <w:tcW w:type="dxa" w:w="3000"/>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העובדה הנטענת</w:t>
            </w:r>
          </w:p>
        </w:tc>
        <w:tc>
          <w:tcPr>
            <w:tcW w:type="dxa" w:w="2700"/>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מה נדרש להוכיח</w:t>
            </w:r>
          </w:p>
        </w:tc>
        <w:tc>
          <w:tcPr>
            <w:tcW w:type="dxa" w:w="2812"/>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נקודות תקיפה ראשוניות</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1</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ב-16.03.2026 סמוך ל-23:05 נהגה הנאשמת ברכב קיה 5326833 בכביש 65 ממזרח למערב.</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זהות הנוהגת, זמן, מקום וכיוון נסיעה.</w:t>
            </w:r>
          </w:p>
        </w:tc>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לרוב אינו שנוי במחלוקת. יש לאמת מול הודעת הנאשמת ורישיון הרכב.</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2</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"באותה העת פעלה מערכת הרמזורים כתקנה."</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תקינות הרמזור בזמן האירוע, כולל תזמון הפאזות וזמן הביניים (all-red).</w:t>
            </w:r>
          </w:p>
        </w:tc>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מהי הראיה? אישור קבלן אחזקה? יומן בקר? אם מדובר במסמך של גורם פרטי, ספק אם ניתן להגישו כתעודת עובד ציבור בלי עד. יש לדרוש את המסמך והעד.</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3</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רכב מיצובישי 16604101 נסע בכביש 4 מדרום לצפון דרך הצומת.</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כיוון ומסלול הרכב המעורב.</w:t>
            </w:r>
          </w:p>
        </w:tc>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מהירות הרכב המעורב לא נטענת כלל. בכביש בין-עירוני בשעת לילה זהו פרט מהותי.</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4</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הנאשמת לא נתנה תשומת לב מספקת, נכנסה לצומת באור אדום, חסמה את דרכו של הרכב שהגיע משמאלה ופגעה בו.</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שהאור בכיוונה היה אדום ברגע חציית קו העצירה (לא צהוב), ושהתנהגותה עולה כדי קלות ראש.</w:t>
            </w:r>
          </w:p>
        </w:tc>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ליבת המחלוקת. הראיה היחידה הצפויה: עדות הנהג המעורב, שהוא בעל עניין. יש לבחון יומן רמזור, מצלמות, מיקום הפגיעה ברכבים, סימני בלימה ומיקום סופי.</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5</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נהג המיצובישי נחבל "חבלה של ממש": "שברים עדינים באספקט קדמי".</w:t>
            </w:r>
          </w:p>
        </w:tc>
        <w:tc>
          <w:tcPr>
            <w:tcW w:type="dxa" w:w="2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קיום החבלה, היותה "של ממש", וקשר סיבתי בין העבירה לחבלה.</w:t>
            </w:r>
          </w:p>
        </w:tc>
        <w:tc>
          <w:tcPr>
            <w:tcW w:type="dxa" w:w="28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התיאור קטוע ואינו מציין איזה איבר. "שברים עדינים" מעלה שאלת מהותיות, מועד היווצרות (ממצא ישן?) ואופן האבחון (הדמיה או "חשד לשבר"). ראו פרק ד.</w:t>
            </w:r>
          </w:p>
        </w:tc>
      </w:tr>
    </w:tbl>
    <w:p>
      <w:pPr>
        <w:bidi/>
        <w:spacing w:after="0"/>
      </w:pPr>
      <w:r>
        <w:rPr>
          <w:rFonts w:ascii="David" w:cs="David" w:eastAsia="David" w:hAnsi="David"/>
          <w:b w:val="false"/>
          <w:bCs w:val="false"/>
          <w:i w:val="false"/>
          <w:iCs w:val="false"/>
          <w:sz w:val="24"/>
          <w:szCs w:val="24"/>
          <w:rtl/>
        </w:rPr>
        <w:t xml:space="preserve"/>
      </w:r>
    </w:p>
    <w:p>
      <w:pPr>
        <w:bidi/>
        <w:spacing w:after="120" w:line="360" w:lineRule="auto"/>
        <w:jc w:val="both"/>
      </w:pPr>
      <w:r>
        <w:rPr>
          <w:rFonts w:ascii="David" w:cs="David" w:eastAsia="David" w:hAnsi="David"/>
          <w:b/>
          <w:bCs/>
          <w:i w:val="false"/>
          <w:iCs w:val="false"/>
          <w:sz w:val="24"/>
          <w:szCs w:val="24"/>
          <w:rtl/>
        </w:rPr>
        <w:t xml:space="preserve">הערה חשובה: </w:t>
      </w:r>
      <w:r>
        <w:rPr>
          <w:rFonts w:ascii="David" w:cs="David" w:eastAsia="David" w:hAnsi="David"/>
          <w:b w:val="false"/>
          <w:bCs w:val="false"/>
          <w:i w:val="false"/>
          <w:iCs w:val="false"/>
          <w:sz w:val="24"/>
          <w:szCs w:val="24"/>
          <w:rtl/>
        </w:rPr>
        <w:t xml:space="preserve">בידי מזכר זה רק עמוד העובדות. עמוד "הוראות החיקוק" ורשימת עדי התביעה חיוניים. סעיפי החיקוק המדויקים (למשל: האם "קלות ראש" מיוחסת לפי סעיף 62(2) לפקודה או לפי תקנה 21(ג) לתקנות) משנים את החשיפה העונשית ואת מערכת הניקוד. יש להשלים פרט זה לפני כל פעולה.</w:t>
      </w:r>
    </w:p>
    <w:p>
      <w:pPr>
        <w:keepNext/>
        <w:bidi/>
        <w:spacing w:after="120" w:before="360" w:line="360" w:lineRule="auto"/>
        <w:jc w:val="start"/>
      </w:pPr>
      <w:r>
        <w:rPr>
          <w:rFonts w:ascii="David" w:cs="David" w:eastAsia="David" w:hAnsi="David"/>
          <w:b/>
          <w:bCs/>
          <w:i w:val="false"/>
          <w:iCs w:val="false"/>
          <w:sz w:val="26"/>
          <w:szCs w:val="26"/>
          <w:u w:val="single"/>
          <w:rtl/>
        </w:rPr>
        <w:t xml:space="preserve">ג. העבירות המיוחסות: מקורות ויסודות</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4672"/>
      </w:tblGrid>
      <w:tr>
        <w:trPr>
          <w:tblHeader/>
        </w:trPr>
        <w:tc>
          <w:tcPr>
            <w:tcW w:type="dxa" w:w="2100"/>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העבירה</w:t>
            </w:r>
          </w:p>
        </w:tc>
        <w:tc>
          <w:tcPr>
            <w:tcW w:type="dxa" w:w="2300"/>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הוראת החיקוק (לאימות מול עמוד 2)</w:t>
            </w:r>
          </w:p>
        </w:tc>
        <w:tc>
          <w:tcPr>
            <w:tcW w:type="dxa" w:w="4672"/>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יסודות ומשמעות</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אי ציות לרמזור אדום</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תקנה 22(א) לתקנות התעבורה, התשכ"א-1961, יחד עם תמרור רמזור (אור אדום).</w:t>
            </w:r>
          </w:p>
        </w:tc>
        <w:tc>
          <w:tcPr>
            <w:tcW w:type="dxa" w:w="46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חובת ציות לתמרור. יסוד עובדתי: חציית קו העצירה בעת שהאור אדום. ההגנה שבסיפת התקנה (תמרור שהוצב שלא כדין) רלוונטית רק אם יימצא ליקוי בתכנית הרמזור או בהצבתו. כניסה בצהוב היא עבירה נפרדת ואינה מיוחסת כאן.</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התנהגות הגורמת נזק</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תקנה 21(ב)(2) לתקנות התעבורה.</w:t>
            </w:r>
          </w:p>
        </w:tc>
        <w:tc>
          <w:tcPr>
            <w:tcW w:type="dxa" w:w="46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עבירת תוצאה: התנהגות שגרמה נזק לאדם או לרכוש. במקרה של תאונה עם נזק, ההרשעה בה נגררת כמעט אוטומטית אחרי הרשעה ברכיב האחריות.</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נהיגה בקלות ראש</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סעיף 62(2) לפקודת התעבורה [נוסח חדש] (עד שנתיים מאסר או קנס), או תקנה 21(ג) לתקנות. יש לוודא.</w:t>
            </w:r>
          </w:p>
        </w:tc>
        <w:tc>
          <w:tcPr>
            <w:tcW w:type="dxa" w:w="46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סעיף 62(2) מכסה "קלות ראש או רשלנות". די ברשלנות; אין צורך במודעות. הניסוח בכתב האישום ("לא נתנה תשומת לב מספקת") הוא ניסוח של רשלנות, וזהו הבסיס העובדתי הדל ביותר האפשרי לעבירה.</w:t>
            </w:r>
          </w:p>
        </w:tc>
      </w:tr>
      <w:tr>
        <w:trPr>
          <w:cantSplit/>
        </w:trPr>
        <w:tc>
          <w:tcPr>
            <w:tcW w:type="dxa" w:w="21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חבלה של ממש (רכיב מחמיר)</w:t>
            </w:r>
          </w:p>
        </w:tc>
        <w:tc>
          <w:tcPr>
            <w:tcW w:type="dxa" w:w="23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סעיף 38(3) לפקודת התעבורה.</w:t>
            </w:r>
          </w:p>
        </w:tc>
        <w:tc>
          <w:tcPr>
            <w:tcW w:type="dxa" w:w="46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אינו עבירה עצמאית אלא הוראת ענישה: מי שהורשע בעבירה מהתוספות הרלוונטיות שגרמה לתאונה שבה נחבל אדם "חבלה של ממש", דינו פסילה בפועל של 3 חודשים לפחות, בנוסף לכל עונש אחר. בית המשפט רשאי לקצר "בנסיבות מיוחדות שיפרש בפסק הדין". יש לאמת שהעבירות המיוחסות אכן נמנות על התוספות שאליהן מפנה סעיף 38(3).</w:t>
            </w:r>
          </w:p>
        </w:tc>
      </w:tr>
    </w:tbl>
    <w:p>
      <w:pPr>
        <w:keepNext/>
        <w:bidi/>
        <w:spacing w:after="120" w:before="360" w:line="360" w:lineRule="auto"/>
        <w:jc w:val="start"/>
      </w:pPr>
      <w:r>
        <w:rPr>
          <w:rFonts w:ascii="David" w:cs="David" w:eastAsia="David" w:hAnsi="David"/>
          <w:b/>
          <w:bCs/>
          <w:i w:val="false"/>
          <w:iCs w:val="false"/>
          <w:sz w:val="26"/>
          <w:szCs w:val="26"/>
          <w:u w:val="single"/>
          <w:rtl/>
        </w:rPr>
        <w:t xml:space="preserve">ד. סעיף 38 ו"חבלה של ממש": נקודת המינוף המרכזית</w:t>
      </w:r>
    </w:p>
    <w:p>
      <w:pPr>
        <w:keepNext/>
        <w:bidi/>
        <w:spacing w:after="80" w:before="240" w:line="360" w:lineRule="auto"/>
        <w:jc w:val="start"/>
      </w:pPr>
      <w:r>
        <w:rPr>
          <w:rFonts w:ascii="David" w:cs="David" w:eastAsia="David" w:hAnsi="David"/>
          <w:b/>
          <w:bCs/>
          <w:i w:val="false"/>
          <w:iCs w:val="false"/>
          <w:sz w:val="24"/>
          <w:szCs w:val="24"/>
          <w:rtl/>
        </w:rPr>
        <w:t xml:space="preserve">ד.1 למה זה חשוב</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בלי סעיף 38, תאונת צומת עם נזק לרכוש ובלי עבר תעבורתי מכביד מסתיימת לעיתים קרובות בקנס, פסילה על תנאי ולכל היותר פסילה קצרה בפועל. עם סעיף 38, נקודת הפתיחה היא שלושה חודשי פסילה בפועל, ובפרקטיקה, כשמדובר בשברים, בתי המשפט לתעבורה גוזרים לעיתים תכופות פסילות ארוכות מכך.</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לכן, כל השקעה בתיק צריכה להימדד קודם כל במונחי סעיף 38: האם ניתן לשמוט אותו, ואם לא, האם ניתן לבסס "נסיבות מיוחדות".</w:t>
      </w:r>
    </w:p>
    <w:p>
      <w:pPr>
        <w:keepNext/>
        <w:bidi/>
        <w:spacing w:after="80" w:before="240" w:line="360" w:lineRule="auto"/>
        <w:jc w:val="start"/>
      </w:pPr>
      <w:r>
        <w:rPr>
          <w:rFonts w:ascii="David" w:cs="David" w:eastAsia="David" w:hAnsi="David"/>
          <w:b/>
          <w:bCs/>
          <w:i w:val="false"/>
          <w:iCs w:val="false"/>
          <w:sz w:val="24"/>
          <w:szCs w:val="24"/>
          <w:rtl/>
        </w:rPr>
        <w:t xml:space="preserve">ד.2 המבחן המשפטי</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"חבלה של ממש" פורשה בפסיקה כחבלה שאינה קלת ערך, שאינה "של מה בכך". אין דרישה לנכות או לאשפוז ממושך. שבר, ככלל, נחשב חבלה של ממש. מכאן שקו ההגנה אינו "שבר אינו חבלה של ממש" (טענה שסיכוייה נמוכים), אלא תקיפת ההוכחה של השבר עצמו ושל הקשר הסיבתי.</w:t>
      </w:r>
    </w:p>
    <w:p>
      <w:pPr>
        <w:pStyle w:val="ListParagraph"/>
        <w:numPr>
          <w:ilvl w:val="0"/>
          <w:numId w:val="2"/>
        </w:numPr>
        <w:bidi/>
        <w:spacing w:after="120" w:line="360" w:lineRule="auto"/>
        <w:jc w:val="both"/>
      </w:pPr>
      <w:r>
        <w:rPr>
          <w:rFonts w:ascii="David" w:cs="David" w:eastAsia="David" w:hAnsi="David"/>
          <w:b/>
          <w:bCs/>
          <w:i w:val="false"/>
          <w:iCs w:val="false"/>
          <w:sz w:val="24"/>
          <w:szCs w:val="24"/>
          <w:rtl/>
        </w:rPr>
        <w:t xml:space="preserve">הסתייגות: </w:t>
      </w:r>
      <w:r>
        <w:rPr>
          <w:rFonts w:ascii="David" w:cs="David" w:eastAsia="David" w:hAnsi="David"/>
          <w:b w:val="false"/>
          <w:bCs w:val="false"/>
          <w:i w:val="false"/>
          <w:iCs w:val="false"/>
          <w:sz w:val="24"/>
          <w:szCs w:val="24"/>
          <w:rtl/>
        </w:rPr>
        <w:t xml:space="preserve">הגדרת המבחן לעיל היא לפי הבנתי את הפסיקה. לפני דיון, יש לאמת אסמכתאות עדכניות במחקר משפטי (ניתן להפיק שאלות מחקר ממזכר זה).</w:t>
      </w:r>
    </w:p>
    <w:p>
      <w:pPr>
        <w:keepNext/>
        <w:bidi/>
        <w:spacing w:after="80" w:before="240" w:line="360" w:lineRule="auto"/>
        <w:jc w:val="start"/>
      </w:pPr>
      <w:r>
        <w:rPr>
          <w:rFonts w:ascii="David" w:cs="David" w:eastAsia="David" w:hAnsi="David"/>
          <w:b/>
          <w:bCs/>
          <w:i w:val="false"/>
          <w:iCs w:val="false"/>
          <w:sz w:val="24"/>
          <w:szCs w:val="24"/>
          <w:rtl/>
        </w:rPr>
        <w:t xml:space="preserve">ד.3 חולשות בסעיף 5 לכתב האישום</w:t>
      </w:r>
    </w:p>
    <w:p>
      <w:pPr>
        <w:pStyle w:val="ListParagraph"/>
        <w:numPr>
          <w:ilvl w:val="0"/>
          <w:numId w:val="3"/>
        </w:numPr>
        <w:bidi/>
        <w:spacing w:after="60" w:line="360" w:lineRule="auto"/>
        <w:jc w:val="both"/>
      </w:pPr>
      <w:r>
        <w:rPr>
          <w:rFonts w:ascii="David" w:cs="David" w:eastAsia="David" w:hAnsi="David"/>
          <w:b/>
          <w:bCs/>
          <w:i w:val="false"/>
          <w:iCs w:val="false"/>
          <w:sz w:val="24"/>
          <w:szCs w:val="24"/>
          <w:rtl/>
        </w:rPr>
        <w:t xml:space="preserve">תיאור קטוע: </w:t>
      </w:r>
      <w:r>
        <w:rPr>
          <w:rFonts w:ascii="David" w:cs="David" w:eastAsia="David" w:hAnsi="David"/>
          <w:b w:val="false"/>
          <w:bCs w:val="false"/>
          <w:i w:val="false"/>
          <w:iCs w:val="false"/>
          <w:sz w:val="24"/>
          <w:szCs w:val="24"/>
          <w:rtl/>
        </w:rPr>
        <w:t xml:space="preserve">"שברים עדינים באספקט קדמי" אינו מציין את האיבר (צלעות? עצם החזה? חוליה?). סעיף 85(4) לחסד"פ מחייב תיאור העובדות המהוות את העבירה. זהו פגם בכתב האישום לפי סעיף 149(3) לחסד"פ, ולכל הפחות בסיס לדרישת פרטים נוספים או לתיקון כתב האישום. ייתכן שהקיטוע הוא בצילום בלבד. יש לבדוק במקור.</w:t>
      </w:r>
    </w:p>
    <w:p>
      <w:pPr>
        <w:pStyle w:val="ListParagraph"/>
        <w:numPr>
          <w:ilvl w:val="0"/>
          <w:numId w:val="3"/>
        </w:numPr>
        <w:bidi/>
        <w:spacing w:after="60" w:line="360" w:lineRule="auto"/>
        <w:jc w:val="both"/>
      </w:pPr>
      <w:r>
        <w:rPr>
          <w:rFonts w:ascii="David" w:cs="David" w:eastAsia="David" w:hAnsi="David"/>
          <w:b/>
          <w:bCs/>
          <w:i w:val="false"/>
          <w:iCs w:val="false"/>
          <w:sz w:val="24"/>
          <w:szCs w:val="24"/>
          <w:rtl/>
        </w:rPr>
        <w:t xml:space="preserve">"שברים עדינים": </w:t>
      </w:r>
      <w:r>
        <w:rPr>
          <w:rFonts w:ascii="David" w:cs="David" w:eastAsia="David" w:hAnsi="David"/>
          <w:b w:val="false"/>
          <w:bCs w:val="false"/>
          <w:i w:val="false"/>
          <w:iCs w:val="false"/>
          <w:sz w:val="24"/>
          <w:szCs w:val="24"/>
          <w:rtl/>
        </w:rPr>
        <w:t xml:space="preserve">ניסוח המרמז על ממצא הדמייתי גבולי. יש לבדוק: האם השבר אובחן בוודאות או כ"חשד לשבר"? האם בצילום רנטגן או ב-CT? האם הרדיולוג ציין גיל הממצא? שברים "עדינים" בצלעות עשויים להיות ממצא ישן או ממצא לא ודאי.</w:t>
      </w:r>
    </w:p>
    <w:p>
      <w:pPr>
        <w:pStyle w:val="ListParagraph"/>
        <w:numPr>
          <w:ilvl w:val="0"/>
          <w:numId w:val="3"/>
        </w:numPr>
        <w:bidi/>
        <w:spacing w:after="60" w:line="360" w:lineRule="auto"/>
        <w:jc w:val="both"/>
      </w:pPr>
      <w:r>
        <w:rPr>
          <w:rFonts w:ascii="David" w:cs="David" w:eastAsia="David" w:hAnsi="David"/>
          <w:b/>
          <w:bCs/>
          <w:i w:val="false"/>
          <w:iCs w:val="false"/>
          <w:sz w:val="24"/>
          <w:szCs w:val="24"/>
          <w:rtl/>
        </w:rPr>
        <w:t xml:space="preserve">קשר סיבתי: </w:t>
      </w:r>
      <w:r>
        <w:rPr>
          <w:rFonts w:ascii="David" w:cs="David" w:eastAsia="David" w:hAnsi="David"/>
          <w:b w:val="false"/>
          <w:bCs w:val="false"/>
          <w:i w:val="false"/>
          <w:iCs w:val="false"/>
          <w:sz w:val="24"/>
          <w:szCs w:val="24"/>
          <w:rtl/>
        </w:rPr>
        <w:t xml:space="preserve">סעיף 38(3) דורש שהעבירה "גרמה" לתאונה שבה נחבל אדם. יש לבדוק מנגנון הפגיעה מול מיקום הנזק ברכב המעורב, שימוש בחגורת בטיחות, פתיחת כריות אוויר, ותלונות הנפגע בזירה מול תלונותיו בבית החולים (פער זמנים בפנייה לטיפול הוא סימן שאלה).</w:t>
      </w:r>
    </w:p>
    <w:p>
      <w:pPr>
        <w:pStyle w:val="ListParagraph"/>
        <w:numPr>
          <w:ilvl w:val="0"/>
          <w:numId w:val="3"/>
        </w:numPr>
        <w:bidi/>
        <w:spacing w:after="60" w:line="360" w:lineRule="auto"/>
        <w:jc w:val="both"/>
      </w:pPr>
      <w:r>
        <w:rPr>
          <w:rFonts w:ascii="David" w:cs="David" w:eastAsia="David" w:hAnsi="David"/>
          <w:b/>
          <w:bCs/>
          <w:i w:val="false"/>
          <w:iCs w:val="false"/>
          <w:sz w:val="24"/>
          <w:szCs w:val="24"/>
          <w:rtl/>
        </w:rPr>
        <w:t xml:space="preserve">קבילות: </w:t>
      </w:r>
      <w:r>
        <w:rPr>
          <w:rFonts w:ascii="David" w:cs="David" w:eastAsia="David" w:hAnsi="David"/>
          <w:b w:val="false"/>
          <w:bCs w:val="false"/>
          <w:i w:val="false"/>
          <w:iCs w:val="false"/>
          <w:sz w:val="24"/>
          <w:szCs w:val="24"/>
          <w:rtl/>
        </w:rPr>
        <w:t xml:space="preserve">התביעה תבקש להגיש תעודה רפואית לפי סעיף 20 לפקודת הראיות [נוסח חדש], התשל"א-1971. הסניגוריה זכאית לדרוש את חקירת הרופא (סעיף 26 לפקודה). דרישה זו היא מנוף במשא ומתן, שכן היא מכבידה על התביעה.</w:t>
      </w:r>
    </w:p>
    <w:p>
      <w:pPr>
        <w:pStyle w:val="ListParagraph"/>
        <w:numPr>
          <w:ilvl w:val="0"/>
          <w:numId w:val="3"/>
        </w:numPr>
        <w:bidi/>
        <w:spacing w:after="60" w:line="360" w:lineRule="auto"/>
        <w:jc w:val="both"/>
      </w:pPr>
      <w:r>
        <w:rPr>
          <w:rFonts w:ascii="David" w:cs="David" w:eastAsia="David" w:hAnsi="David"/>
          <w:b/>
          <w:bCs/>
          <w:i w:val="false"/>
          <w:iCs w:val="false"/>
          <w:sz w:val="24"/>
          <w:szCs w:val="24"/>
          <w:rtl/>
        </w:rPr>
        <w:t xml:space="preserve">מצב רפואי קודם: </w:t>
      </w:r>
      <w:r>
        <w:rPr>
          <w:rFonts w:ascii="David" w:cs="David" w:eastAsia="David" w:hAnsi="David"/>
          <w:b w:val="false"/>
          <w:bCs w:val="false"/>
          <w:i w:val="false"/>
          <w:iCs w:val="false"/>
          <w:sz w:val="24"/>
          <w:szCs w:val="24"/>
          <w:rtl/>
        </w:rPr>
        <w:t xml:space="preserve">אם הנפגע סבל מפגיעה קודמת באותו אזור, או שיש בתיעוד רמז לכך, זו ראיה ישירה נגד הקשר הסיבתי. ניתן לדרוש תיעוד רפואי קודם בהיקף מוגבל, ובמקרה הצורך לבקש צו.</w:t>
      </w:r>
    </w:p>
    <w:p>
      <w:pPr>
        <w:keepNext/>
        <w:bidi/>
        <w:spacing w:after="120" w:before="360" w:line="360" w:lineRule="auto"/>
        <w:jc w:val="start"/>
      </w:pPr>
      <w:r>
        <w:rPr>
          <w:rFonts w:ascii="David" w:cs="David" w:eastAsia="David" w:hAnsi="David"/>
          <w:b/>
          <w:bCs/>
          <w:i w:val="false"/>
          <w:iCs w:val="false"/>
          <w:sz w:val="26"/>
          <w:szCs w:val="26"/>
          <w:u w:val="single"/>
          <w:rtl/>
        </w:rPr>
        <w:t xml:space="preserve">ה. סוגיות ראייתיות מרכזיות</w:t>
      </w:r>
    </w:p>
    <w:p>
      <w:pPr>
        <w:keepNext/>
        <w:bidi/>
        <w:spacing w:after="80" w:before="240" w:line="360" w:lineRule="auto"/>
        <w:jc w:val="start"/>
      </w:pPr>
      <w:r>
        <w:rPr>
          <w:rFonts w:ascii="David" w:cs="David" w:eastAsia="David" w:hAnsi="David"/>
          <w:b/>
          <w:bCs/>
          <w:i w:val="false"/>
          <w:iCs w:val="false"/>
          <w:sz w:val="24"/>
          <w:szCs w:val="24"/>
          <w:rtl/>
        </w:rPr>
        <w:t xml:space="preserve">ה.1 הוכחת האור האדום: מילה מול מילה</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בהיעדר מצלמה, הראיה היחידה לצבע האור היא עדות נהג המיצובישי. הוא בעל עניין מובהק: הנהג שלא הואשם. אף שבמישור הפיצוי חל חוק פיצויים לנפגעי תאונות דרכים, התשל"ה-1975 (ללא אשם), עדיין יש לו אינטרס ברור שלא להיות מואשם בעצמו ואינטרס בתביעת נזקי הרכוש.</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שאלות שיש לבחון בהודעתו: מתי ראה את הרכב של הנאשמת לראשונה? באיזה מרחק מהצומת היה כשהאור בכיוונו התחלף לירוק? האם עצר לפני הצומת או הגיע אליו בנסיעה רציפה? מה הייתה מהירותו? האם היה לבדו ברכב? האם השתמש בטלפון?</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תרחיש שכיח בשעות הלילה: נהג בכביש ראשי מגיע במהירות אל צומת שאורו זה עתה התחלף לירוק, ואילו הנהג השני נכנס בסוף הצהוב או בתחילת האדום. השאלה "אדום או צהוב" היא הבדל בין העבירה המיוחסת לבין עבירה קלה בהרבה שאינה נכנסת בהכרח למסגרת סעיף 38.</w:t>
      </w:r>
    </w:p>
    <w:p>
      <w:pPr>
        <w:keepNext/>
        <w:bidi/>
        <w:spacing w:after="80" w:before="240" w:line="360" w:lineRule="auto"/>
        <w:jc w:val="start"/>
      </w:pPr>
      <w:r>
        <w:rPr>
          <w:rFonts w:ascii="David" w:cs="David" w:eastAsia="David" w:hAnsi="David"/>
          <w:b/>
          <w:bCs/>
          <w:i w:val="false"/>
          <w:iCs w:val="false"/>
          <w:sz w:val="24"/>
          <w:szCs w:val="24"/>
          <w:rtl/>
        </w:rPr>
        <w:t xml:space="preserve">ה.2 תכנית הרמזור וזמן הביניים</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לכל צומת מרומזר תכנית תזמון: אורך צהוב, זמן "אדום כללי" (all-red) שבו כל הכיוונים אדומים, ואורך הפאזות. נתונים אלה, יחד עם מרחקי הנסיעה מקו העצירה לנקודת ההתנגשות ומהירויות הרכבים, מאפשרים לבוחן תאונות לבדוק אם תרחיש התביעה עקבי פיזיקלית. אם קיים זמן ביניים של 2-3 שניות, כניסת המיצובישי בירוק משמעה שהנאשמת חצתה את קו העצירה זמן ניכר אחרי האדום, מה שצריך להתיישב עם המרחקים והמהירויות. אי התאמה היא ספק סביר.</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יש לברר גם אם הצומת עובר למצב "צהוב מהבהב" בשעות הלילה. אם כן, בשעה 23:05 לא הייתה כלל עבירת רמזור אדום, והצומת פועל כצומת עם תמרור זכות קדימה. סעיף 2 לכתב האישום ("פעלה כתקנה") אינו שולל אפשרות זו.</w:t>
      </w:r>
    </w:p>
    <w:p>
      <w:pPr>
        <w:keepNext/>
        <w:bidi/>
        <w:spacing w:after="80" w:before="240" w:line="360" w:lineRule="auto"/>
        <w:jc w:val="start"/>
      </w:pPr>
      <w:r>
        <w:rPr>
          <w:rFonts w:ascii="David" w:cs="David" w:eastAsia="David" w:hAnsi="David"/>
          <w:b/>
          <w:bCs/>
          <w:i w:val="false"/>
          <w:iCs w:val="false"/>
          <w:sz w:val="24"/>
          <w:szCs w:val="24"/>
          <w:rtl/>
        </w:rPr>
        <w:t xml:space="preserve">ה.3 ראיות פיזיות</w:t>
      </w:r>
    </w:p>
    <w:p>
      <w:pPr>
        <w:pStyle w:val="ListParagraph"/>
        <w:numPr>
          <w:ilvl w:val="0"/>
          <w:numId w:val="3"/>
        </w:numPr>
        <w:bidi/>
        <w:spacing w:after="60" w:line="360" w:lineRule="auto"/>
        <w:jc w:val="both"/>
      </w:pPr>
      <w:r>
        <w:rPr>
          <w:rFonts w:ascii="David" w:cs="David" w:eastAsia="David" w:hAnsi="David"/>
          <w:b w:val="false"/>
          <w:bCs w:val="false"/>
          <w:i w:val="false"/>
          <w:iCs w:val="false"/>
          <w:sz w:val="24"/>
          <w:szCs w:val="24"/>
          <w:rtl/>
        </w:rPr>
        <w:t xml:space="preserve">מיקום הפגיעה בשני הרכבים: פגיעה של חזית הקיה בדופן המיצובישי מתיישבת עם תיאור התביעה, אך גם עם כניסה מוקדמת של המיצובישי.</w:t>
      </w:r>
    </w:p>
    <w:p>
      <w:pPr>
        <w:pStyle w:val="ListParagraph"/>
        <w:numPr>
          <w:ilvl w:val="0"/>
          <w:numId w:val="3"/>
        </w:numPr>
        <w:bidi/>
        <w:spacing w:after="60" w:line="360" w:lineRule="auto"/>
        <w:jc w:val="both"/>
      </w:pPr>
      <w:r>
        <w:rPr>
          <w:rFonts w:ascii="David" w:cs="David" w:eastAsia="David" w:hAnsi="David"/>
          <w:b w:val="false"/>
          <w:bCs w:val="false"/>
          <w:i w:val="false"/>
          <w:iCs w:val="false"/>
          <w:sz w:val="24"/>
          <w:szCs w:val="24"/>
          <w:rtl/>
        </w:rPr>
        <w:t xml:space="preserve">מיקום סופי של הרכבים, פיזור שברי זכוכית ופלסטיק, סימני בלימה או היעדרם (רלוונטי לשאלת מודעות ולמהירות).</w:t>
      </w:r>
    </w:p>
    <w:p>
      <w:pPr>
        <w:pStyle w:val="ListParagraph"/>
        <w:numPr>
          <w:ilvl w:val="0"/>
          <w:numId w:val="3"/>
        </w:numPr>
        <w:bidi/>
        <w:spacing w:after="60" w:line="360" w:lineRule="auto"/>
        <w:jc w:val="both"/>
      </w:pPr>
      <w:r>
        <w:rPr>
          <w:rFonts w:ascii="David" w:cs="David" w:eastAsia="David" w:hAnsi="David"/>
          <w:b w:val="false"/>
          <w:bCs w:val="false"/>
          <w:i w:val="false"/>
          <w:iCs w:val="false"/>
          <w:sz w:val="24"/>
          <w:szCs w:val="24"/>
          <w:rtl/>
        </w:rPr>
        <w:t xml:space="preserve">נתוני יחידת בקרה (EDR) ברכבים חדשים: מהירות, בלימה ומצב הגז בשניות שלפני הפגיעה. יש לברר שנת ייצור של שני הרכבים.</w:t>
      </w:r>
    </w:p>
    <w:p>
      <w:pPr>
        <w:pStyle w:val="ListParagraph"/>
        <w:numPr>
          <w:ilvl w:val="0"/>
          <w:numId w:val="3"/>
        </w:numPr>
        <w:bidi/>
        <w:spacing w:after="60" w:line="360" w:lineRule="auto"/>
        <w:jc w:val="both"/>
      </w:pPr>
      <w:r>
        <w:rPr>
          <w:rFonts w:ascii="David" w:cs="David" w:eastAsia="David" w:hAnsi="David"/>
          <w:b w:val="false"/>
          <w:bCs w:val="false"/>
          <w:i w:val="false"/>
          <w:iCs w:val="false"/>
          <w:sz w:val="24"/>
          <w:szCs w:val="24"/>
          <w:rtl/>
        </w:rPr>
        <w:t xml:space="preserve">תאורת הצומת, ראות, מזג אוויר, מצב הכביש.</w:t>
      </w:r>
    </w:p>
    <w:p>
      <w:pPr>
        <w:keepNext/>
        <w:bidi/>
        <w:spacing w:after="80" w:before="240" w:line="360" w:lineRule="auto"/>
        <w:jc w:val="start"/>
      </w:pPr>
      <w:r>
        <w:rPr>
          <w:rFonts w:ascii="David" w:cs="David" w:eastAsia="David" w:hAnsi="David"/>
          <w:b/>
          <w:bCs/>
          <w:i w:val="false"/>
          <w:iCs w:val="false"/>
          <w:sz w:val="24"/>
          <w:szCs w:val="24"/>
          <w:rtl/>
        </w:rPr>
        <w:t xml:space="preserve">ה.4 מצלמות ואובדן ראיות</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חלפו כמעט שישה חודשים מהאירוע. צילומי עסקים ותחנות דלק נמחקים לרוב בתוך ימים עד שבועות. מצלמות נתיבי ישראל בצמתים בין-עירוניים אף הן נשמרות לזמן מוגבל. אם המשטרה לא אספה צילומים בזמן אמת, אובדן זה עשוי לשמש טענה במסגרת "מחדל חקירה", ובמקרים מתאימים גם לתמוך בטענת הגנה מן הצדק (סעיף 149(10) לחסד"פ). יש לברר בחומר החקירה אם נעשה ניסיון לאסוף צילומים.</w:t>
      </w:r>
    </w:p>
    <w:p>
      <w:pPr>
        <w:keepNext/>
        <w:bidi/>
        <w:spacing w:after="80" w:before="240" w:line="360" w:lineRule="auto"/>
        <w:jc w:val="start"/>
      </w:pPr>
      <w:r>
        <w:rPr>
          <w:rFonts w:ascii="David" w:cs="David" w:eastAsia="David" w:hAnsi="David"/>
          <w:b/>
          <w:bCs/>
          <w:i w:val="false"/>
          <w:iCs w:val="false"/>
          <w:sz w:val="24"/>
          <w:szCs w:val="24"/>
          <w:rtl/>
        </w:rPr>
        <w:t xml:space="preserve">ה.5 שכרות, סמים וטלפון</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בשעה 23:05 סביר שנערכה בדיקת נשיפה לשני הנהגים. יש לוודא שבוצעה גם לנהג המעורב ומה תוצאותיה. יש לברר אם המשטרה ביקשה או קיבלה פלט שיחות או נתוני מכשיר של הנאשמת: הביטוי "לא נתנה תשומת לב מספקת" בכתב האישום עשוי לרמז לחשד לשימוש בטלפון, ואם יש ראיה כזו בחומר היא משנה את התמונה.</w:t>
      </w:r>
    </w:p>
    <w:p>
      <w:pPr>
        <w:keepNext/>
        <w:bidi/>
        <w:spacing w:after="120" w:before="360" w:line="360" w:lineRule="auto"/>
        <w:jc w:val="start"/>
      </w:pPr>
      <w:r>
        <w:rPr>
          <w:rFonts w:ascii="David" w:cs="David" w:eastAsia="David" w:hAnsi="David"/>
          <w:b/>
          <w:bCs/>
          <w:i w:val="false"/>
          <w:iCs w:val="false"/>
          <w:sz w:val="26"/>
          <w:szCs w:val="26"/>
          <w:u w:val="single"/>
          <w:rtl/>
        </w:rPr>
        <w:t xml:space="preserve">ו. טענות מקדמיות ומהלכים דיוניים לפני ההקראה</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172"/>
      </w:tblGrid>
      <w:tr>
        <w:trPr>
          <w:tblHeader/>
        </w:trPr>
        <w:tc>
          <w:tcPr>
            <w:tcW w:type="dxa" w:w="2200"/>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המהלך</w:t>
            </w:r>
          </w:p>
        </w:tc>
        <w:tc>
          <w:tcPr>
            <w:tcW w:type="dxa" w:w="3700"/>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הבסיס</w:t>
            </w:r>
          </w:p>
        </w:tc>
        <w:tc>
          <w:tcPr>
            <w:tcW w:type="dxa" w:w="3172"/>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הערכה</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בקשה לעיון בחומר חקירה</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סעיף 74 לחסד"פ. אם יסורב חומר, בקשה לבית המשפט לפי סעיף 74(ב).</w:t>
            </w:r>
          </w:p>
        </w:tc>
        <w:tc>
          <w:tcPr>
            <w:tcW w:type="dxa" w:w="3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חובה. להגיש מיד, בכתב, עם רשימה מפורטת (פרק ט).</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דחיית המענה לאישום</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סעיף 152 לחסד"פ; אין להשיב לאישום לפני מיצוי העיון בחומר.</w:t>
            </w:r>
          </w:p>
        </w:tc>
        <w:tc>
          <w:tcPr>
            <w:tcW w:type="dxa" w:w="3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חובה. בתי משפט לתעבורה נעתרים לכך כדבר שבשגרה בדיון הראשון.</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פגם בכתב האישום: סעיף 5</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סעיף 149(3) יחד עם סעיף 85(4) לחסד"פ. תיאור החבלה קטוע ואינו מאפשר להתגונן.</w:t>
            </w:r>
          </w:p>
        </w:tc>
        <w:tc>
          <w:tcPr>
            <w:tcW w:type="dxa" w:w="3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טענה טובה ברמה הטקטית: מאלצת את התביעה לנקוב באיבר ובמקור הרפואי, ומייצרת בסיס למשא ומתן. סיכוי לביטול האישום בשל כך: נמוך. סיכוי לתיקון: גבוה.</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ריבוי אישומים בגין מעשה אחד</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עיקרון איסור כפל ענישה בגין אותו אקט.</w:t>
            </w:r>
          </w:p>
        </w:tc>
        <w:tc>
          <w:tcPr>
            <w:tcW w:type="dxa" w:w="3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הפרקטיקה בבתי משפט לתעבורה היא הרשעה בכל הסעיפים על בסיס תאונה אחת. ערך מוגבל, אך רלוונטי לטיעון לעונש (עונש אחד כולל).</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הגנה מן הצדק</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סעיף 149(10) לחסד"פ.</w:t>
            </w:r>
          </w:p>
        </w:tc>
        <w:tc>
          <w:tcPr>
            <w:tcW w:type="dxa" w:w="3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רק אם יתגלו מחדלי חקירה מהותיים (אי איסוף מצלמות, אי חקירת הנהג המעורב, אי בדיקת רמזור). להשאיר לשלב לאחר קבלת החומר.</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התיישנות</w:t>
            </w:r>
          </w:p>
        </w:tc>
        <w:tc>
          <w:tcPr>
            <w:tcW w:type="dxa" w:w="37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עבירת סעיף 62 היא עוון; עבירות התקנות קלות יותר.</w:t>
            </w:r>
          </w:p>
        </w:tc>
        <w:tc>
          <w:tcPr>
            <w:tcW w:type="dxa" w:w="31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לא רלוונטי. כתב האישום הוגש בתוך התקופה.</w:t>
            </w:r>
          </w:p>
        </w:tc>
      </w:tr>
    </w:tbl>
    <w:p>
      <w:pPr>
        <w:keepNext/>
        <w:bidi/>
        <w:spacing w:after="120" w:before="360" w:line="360" w:lineRule="auto"/>
        <w:jc w:val="start"/>
      </w:pPr>
      <w:r>
        <w:rPr>
          <w:rFonts w:ascii="David" w:cs="David" w:eastAsia="David" w:hAnsi="David"/>
          <w:b/>
          <w:bCs/>
          <w:i w:val="false"/>
          <w:iCs w:val="false"/>
          <w:sz w:val="26"/>
          <w:szCs w:val="26"/>
          <w:u w:val="single"/>
          <w:rtl/>
        </w:rPr>
        <w:t xml:space="preserve">ז. תרחישי הגנה לפי גרסת הנאשמת</w:t>
      </w:r>
    </w:p>
    <w:p>
      <w:pPr>
        <w:bidi/>
        <w:spacing w:after="120" w:line="360" w:lineRule="auto"/>
        <w:jc w:val="both"/>
      </w:pPr>
      <w:r>
        <w:rPr>
          <w:rFonts w:ascii="David" w:cs="David" w:eastAsia="David" w:hAnsi="David"/>
          <w:b w:val="false"/>
          <w:bCs w:val="false"/>
          <w:i w:val="false"/>
          <w:iCs w:val="false"/>
          <w:sz w:val="24"/>
          <w:szCs w:val="24"/>
          <w:rtl/>
        </w:rPr>
        <w:t xml:space="preserve">גרסת הנאשמת טרם נגבתה, ולכן להלן שלושה תרחישים. יש לגבות את הגרסה בשיחה ישירה, לפני שהנאשמת רואה את חומר החקירה, כדי שהגרסה תהיה אותנטית ולא מותאמת.</w:t>
      </w:r>
    </w:p>
    <w:p>
      <w:pPr>
        <w:keepNext/>
        <w:bidi/>
        <w:spacing w:after="80" w:before="240" w:line="360" w:lineRule="auto"/>
        <w:jc w:val="start"/>
      </w:pPr>
      <w:r>
        <w:rPr>
          <w:rFonts w:ascii="David" w:cs="David" w:eastAsia="David" w:hAnsi="David"/>
          <w:b/>
          <w:bCs/>
          <w:i w:val="false"/>
          <w:iCs w:val="false"/>
          <w:sz w:val="24"/>
          <w:szCs w:val="24"/>
          <w:rtl/>
        </w:rPr>
        <w:t xml:space="preserve">ז.1 תרחיש א: הנאשמת טוענת שהאור בכיוונה היה ירוק</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זהו תרחיש של מחלוקת עובדתית מלאה. הכרעה תלויה במהימנות ובראיות אובייקטיביות. יש לבדוק מיד: יומן בקר הרמזור, תכנית הרמזור, מצלמות, ומינוי בוחן תאונות פרטי לבדיקת ההיתכנות הפיזיקלית.</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נקודת תורפה בגרסה זו: הרמזור "פעל כתקנה", ולכן אם שניהם טוענים "ירוק", אחד מהם טועה או משקר. בית המשפט ישאל מדוע דווקא הנהג המעורב. גרסה עקבית מהודעה במשטרה ועד לעדות בבית המשפט היא תנאי הכרחי. סטייה בין ההודעה לעדות תכריע את התיק.</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דעתי: לנהל הוכחות בתרחיש זה רק אם יש לפחות ראיה אובייקטיבית אחת התומכת בגרסה, או אם חומר החקירה מגלה חולשה ממשית בעדות הנהג המעורב. ניהול הוכחות ללא תמיכה כזו מסתיים לרוב בהרשעה ובעונש חמור יותר משהיה מושג בהסדר.</w:t>
      </w:r>
    </w:p>
    <w:p>
      <w:pPr>
        <w:keepNext/>
        <w:bidi/>
        <w:spacing w:after="80" w:before="240" w:line="360" w:lineRule="auto"/>
        <w:jc w:val="start"/>
      </w:pPr>
      <w:r>
        <w:rPr>
          <w:rFonts w:ascii="David" w:cs="David" w:eastAsia="David" w:hAnsi="David"/>
          <w:b/>
          <w:bCs/>
          <w:i w:val="false"/>
          <w:iCs w:val="false"/>
          <w:sz w:val="24"/>
          <w:szCs w:val="24"/>
          <w:rtl/>
        </w:rPr>
        <w:t xml:space="preserve">ז.2 תרחיש ב: הנאשמת מודה בכניסה באדום</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המאבק עובר כולו לסעיף 38 ולעונש. קו הפעולה: לדרוש את מלוא התיעוד הרפואי, לבחון אותו עם רופא (אורתופד או רדיולוג), ולנהל משא ומתן על מחיקת סעיף 5 וסעיף 38 בתמורה להודאה.</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אם התביעה תסרב למחוק את סעיף 38, לשקול הודאה עם טיעון ל"נסיבות מיוחדות" לפי סיפת סעיף 38: רגע של הסח דעת ולא נהיגה פרועה, שעת לילה ותנועה דלילה, היעדר עבר תעבורתי, לקיחת אחריות מוקדמת, נסיבות אישיות (תלות ברישיון לפרנסה, טיפול בילדים או בהורים), חבלה שהחלימה ללא נכות.</w:t>
      </w:r>
    </w:p>
    <w:p>
      <w:pPr>
        <w:keepNext/>
        <w:bidi/>
        <w:spacing w:after="80" w:before="240" w:line="360" w:lineRule="auto"/>
        <w:jc w:val="start"/>
      </w:pPr>
      <w:r>
        <w:rPr>
          <w:rFonts w:ascii="David" w:cs="David" w:eastAsia="David" w:hAnsi="David"/>
          <w:b/>
          <w:bCs/>
          <w:i w:val="false"/>
          <w:iCs w:val="false"/>
          <w:sz w:val="24"/>
          <w:szCs w:val="24"/>
          <w:rtl/>
        </w:rPr>
        <w:t xml:space="preserve">ז.3 תרחיש ג: הנאשמת אינה זוכרת או אינה בטוחה</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תרחיש שכיח בתאונות לילה. אין להצהיר "ירוק" בלי ביטחון. הגישה: לא להשיב לאישום, לקבל את החומר, ולבחון אם הראיות האובייקטיביות מספקות בסיס לספק סביר. אם לא, לפעול לפי תרחיש ב.</w:t>
      </w:r>
    </w:p>
    <w:p>
      <w:pPr>
        <w:keepNext/>
        <w:bidi/>
        <w:spacing w:after="120" w:before="360" w:line="360" w:lineRule="auto"/>
        <w:jc w:val="start"/>
      </w:pPr>
      <w:r>
        <w:rPr>
          <w:rFonts w:ascii="David" w:cs="David" w:eastAsia="David" w:hAnsi="David"/>
          <w:b/>
          <w:bCs/>
          <w:i w:val="false"/>
          <w:iCs w:val="false"/>
          <w:sz w:val="26"/>
          <w:szCs w:val="26"/>
          <w:u w:val="single"/>
          <w:rtl/>
        </w:rPr>
        <w:t xml:space="preserve">ח. חשיפה עונשית ונגזרות</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00"/>
        <w:gridCol w:w="6572"/>
      </w:tblGrid>
      <w:tr>
        <w:trPr>
          <w:tblHeader/>
        </w:trPr>
        <w:tc>
          <w:tcPr>
            <w:tcW w:type="dxa" w:w="2500"/>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הרכיב</w:t>
            </w:r>
          </w:p>
        </w:tc>
        <w:tc>
          <w:tcPr>
            <w:tcW w:type="dxa" w:w="6572"/>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החשיפה</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פסילה בפועל</w:t>
            </w:r>
          </w:p>
        </w:tc>
        <w:tc>
          <w:tcPr>
            <w:tcW w:type="dxa" w:w="65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עם סעיף 38(3): 3 חודשים לפחות, וניתן לחרוג כלפי מטה רק ב"נסיבות מיוחדות שיפרש בפסק הדין". בפרקטיקה, בתיקי שברים, טווח של 3-8 חודשים אינו חריג. בלי סעיף 38: פסילה על תנאי או פסילה קצרה, לפי העבר התעבורתי.</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מאסר</w:t>
            </w:r>
          </w:p>
        </w:tc>
        <w:tc>
          <w:tcPr>
            <w:tcW w:type="dxa" w:w="65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סעיף 62(2) מאפשר עד שנתיים. בנסיבות תיק זה, ללא עבר וללא שכרות או מהירות חריגה, מאסר בפועל אינו צפוי. מאסר על תנאי אפשרי אם סעיף 38 יישאר.</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קנס</w:t>
            </w:r>
          </w:p>
        </w:tc>
        <w:tc>
          <w:tcPr>
            <w:tcW w:type="dxa" w:w="65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צפוי בכל תרחיש. הסדר טוב יתמקד בקנס ובפסילה על תנאי במקום פסילה בפועל.</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פסילה על תנאי</w:t>
            </w:r>
          </w:p>
        </w:tc>
        <w:tc>
          <w:tcPr>
            <w:tcW w:type="dxa" w:w="65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צפויה כמעט בכל תרחיש, לרוב לתקופה של שנה עד שלוש שנים.</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ניקוד</w:t>
            </w:r>
          </w:p>
        </w:tc>
        <w:tc>
          <w:tcPr>
            <w:tcW w:type="dxa" w:w="65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מערכת הניקוד (תקנות 544-551 לתקנות התעבורה והתוספת השישית): אי ציות לרמזור אדום ונהיגה בקלות ראש נושאות ניקוד גבוה כל אחת (יש לאמת את הערכים העדכניים). ניקוד מצטבר עלול לגרור אמצעי תיקון: קורס, מבחן עיוני, ואף פסילה מנהלית. יש לבדוק את מצב הניקוד הקיים של הנאשמת.</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פסילה מנהלית</w:t>
            </w:r>
          </w:p>
        </w:tc>
        <w:tc>
          <w:tcPr>
            <w:tcW w:type="dxa" w:w="65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אם קצין משטרה פסל את רישיון הנאשמת לאחר התאונה לפי סעיף 47 לפקודת התעבורה, יש לוודא שתקופה זו תנוכה מכל פסילה שתיגזר. לברר אצל הנאשמת.</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נהגת חדשה</w:t>
            </w:r>
          </w:p>
        </w:tc>
        <w:tc>
          <w:tcPr>
            <w:tcW w:type="dxa" w:w="65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אם הנאשמת "נהגת חדשה" (לפי סעיף 12א לפקודה), הרשעה בעבירות מסוימות גוררת דרישה לבחינות חוזרות לפני חידוש הרישיון. לברר ותק רישיון.</w:t>
            </w:r>
          </w:p>
        </w:tc>
      </w:tr>
      <w:tr>
        <w:trPr>
          <w:cantSplit/>
        </w:trPr>
        <w:tc>
          <w:tcPr>
            <w:tcW w:type="dxa" w:w="2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השלכה אזרחית</w:t>
            </w:r>
          </w:p>
        </w:tc>
        <w:tc>
          <w:tcPr>
            <w:tcW w:type="dxa" w:w="657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סעיף 42א לפקודת הראיות: ממצאי הרשעה חלוטה קבילים כראיה לכאורה בהליך אזרחי. הודאה ברמזור אדום תשמש נגד הנאשמת ומבטחתה בתביעת נזקי הרכוש של הרכב המעורב. שיקול זה צריך להיות מתואם עם חברת הביטוח של הנאשמת לפני כל הודאה.</w:t>
            </w:r>
          </w:p>
        </w:tc>
      </w:tr>
    </w:tbl>
    <w:p>
      <w:pPr>
        <w:keepNext/>
        <w:bidi/>
        <w:spacing w:after="120" w:before="360" w:line="360" w:lineRule="auto"/>
        <w:jc w:val="start"/>
      </w:pPr>
      <w:r>
        <w:rPr>
          <w:rFonts w:ascii="David" w:cs="David" w:eastAsia="David" w:hAnsi="David"/>
          <w:b/>
          <w:bCs/>
          <w:i w:val="false"/>
          <w:iCs w:val="false"/>
          <w:sz w:val="26"/>
          <w:szCs w:val="26"/>
          <w:u w:val="single"/>
          <w:rtl/>
        </w:rPr>
        <w:t xml:space="preserve">ט. אפיקי הסדר טיעון ומנופים</w:t>
      </w:r>
    </w:p>
    <w:p>
      <w:pPr>
        <w:pStyle w:val="ListParagraph"/>
        <w:numPr>
          <w:ilvl w:val="0"/>
          <w:numId w:val="2"/>
        </w:numPr>
        <w:bidi/>
        <w:spacing w:after="120" w:line="360" w:lineRule="auto"/>
        <w:jc w:val="both"/>
      </w:pPr>
      <w:r>
        <w:rPr>
          <w:rFonts w:ascii="David" w:cs="David" w:eastAsia="David" w:hAnsi="David"/>
          <w:b/>
          <w:bCs/>
          <w:i w:val="false"/>
          <w:iCs w:val="false"/>
          <w:sz w:val="24"/>
          <w:szCs w:val="24"/>
          <w:rtl/>
        </w:rPr>
        <w:t xml:space="preserve">יעד ראשי: </w:t>
      </w:r>
      <w:r>
        <w:rPr>
          <w:rFonts w:ascii="David" w:cs="David" w:eastAsia="David" w:hAnsi="David"/>
          <w:b w:val="false"/>
          <w:bCs w:val="false"/>
          <w:i w:val="false"/>
          <w:iCs w:val="false"/>
          <w:sz w:val="24"/>
          <w:szCs w:val="24"/>
          <w:rtl/>
        </w:rPr>
        <w:t xml:space="preserve">מחיקת סעיף 5 העובדתי וסעיף 38 מהוראות החיקוק. הודאה בתקנה 22(א) ובתקנה 21(ב)(2), ותוצאה של קנס ופסילה על תנאי, או פסילה קצרה בפועל.</w:t>
      </w:r>
    </w:p>
    <w:p>
      <w:pPr>
        <w:pStyle w:val="ListParagraph"/>
        <w:numPr>
          <w:ilvl w:val="0"/>
          <w:numId w:val="2"/>
        </w:numPr>
        <w:bidi/>
        <w:spacing w:after="120" w:line="360" w:lineRule="auto"/>
        <w:jc w:val="both"/>
      </w:pPr>
      <w:r>
        <w:rPr>
          <w:rFonts w:ascii="David" w:cs="David" w:eastAsia="David" w:hAnsi="David"/>
          <w:b/>
          <w:bCs/>
          <w:i w:val="false"/>
          <w:iCs w:val="false"/>
          <w:sz w:val="24"/>
          <w:szCs w:val="24"/>
          <w:rtl/>
        </w:rPr>
        <w:t xml:space="preserve">יעד משני: </w:t>
      </w:r>
      <w:r>
        <w:rPr>
          <w:rFonts w:ascii="David" w:cs="David" w:eastAsia="David" w:hAnsi="David"/>
          <w:b w:val="false"/>
          <w:bCs w:val="false"/>
          <w:i w:val="false"/>
          <w:iCs w:val="false"/>
          <w:sz w:val="24"/>
          <w:szCs w:val="24"/>
          <w:rtl/>
        </w:rPr>
        <w:t xml:space="preserve">אם התביעה עומדת על סעיף 38, הסכמה עונשית לפסילה של 3 חודשים בלבד (המינימום), ללא מאסר על תנאי, עם ניכוי הפסילה המנהלית.</w:t>
      </w:r>
    </w:p>
    <w:p>
      <w:pPr>
        <w:pStyle w:val="ListParagraph"/>
        <w:numPr>
          <w:ilvl w:val="0"/>
          <w:numId w:val="2"/>
        </w:numPr>
        <w:bidi/>
        <w:spacing w:after="120" w:line="360" w:lineRule="auto"/>
        <w:jc w:val="both"/>
      </w:pPr>
      <w:r>
        <w:rPr>
          <w:rFonts w:ascii="David" w:cs="David" w:eastAsia="David" w:hAnsi="David"/>
          <w:b/>
          <w:bCs/>
          <w:i w:val="false"/>
          <w:iCs w:val="false"/>
          <w:sz w:val="24"/>
          <w:szCs w:val="24"/>
          <w:rtl/>
        </w:rPr>
        <w:t xml:space="preserve">מנופים בידי הסניגוריה: </w:t>
      </w:r>
      <w:r>
        <w:rPr>
          <w:rFonts w:ascii="David" w:cs="David" w:eastAsia="David" w:hAnsi="David"/>
          <w:b w:val="false"/>
          <w:bCs w:val="false"/>
          <w:i w:val="false"/>
          <w:iCs w:val="false"/>
          <w:sz w:val="24"/>
          <w:szCs w:val="24"/>
          <w:rtl/>
        </w:rPr>
        <w:t xml:space="preserve">(1) הפגם בסעיף 5; (2) דרישה לחקירת הרופא לפי סעיף 26 לפקודת הראיות; (3) דרישה לעד מטעם קבלן הרמזורים להוכחת סעיף 2; (4) מחדלי חקירה, אם יתגלו; (5) חיסכון בזמן שיפוטי, שהוא שיקול ממשי בעומס בתי משפט לתעבורה; (6) לקיחת אחריות מוקדמת.</w:t>
      </w:r>
    </w:p>
    <w:p>
      <w:pPr>
        <w:pStyle w:val="ListParagraph"/>
        <w:numPr>
          <w:ilvl w:val="0"/>
          <w:numId w:val="2"/>
        </w:numPr>
        <w:bidi/>
        <w:spacing w:after="120" w:line="360" w:lineRule="auto"/>
        <w:jc w:val="both"/>
      </w:pPr>
      <w:r>
        <w:rPr>
          <w:rFonts w:ascii="David" w:cs="David" w:eastAsia="David" w:hAnsi="David"/>
          <w:b/>
          <w:bCs/>
          <w:i w:val="false"/>
          <w:iCs w:val="false"/>
          <w:sz w:val="24"/>
          <w:szCs w:val="24"/>
          <w:rtl/>
        </w:rPr>
        <w:t xml:space="preserve">תזמון: </w:t>
      </w:r>
      <w:r>
        <w:rPr>
          <w:rFonts w:ascii="David" w:cs="David" w:eastAsia="David" w:hAnsi="David"/>
          <w:b w:val="false"/>
          <w:bCs w:val="false"/>
          <w:i w:val="false"/>
          <w:iCs w:val="false"/>
          <w:sz w:val="24"/>
          <w:szCs w:val="24"/>
          <w:rtl/>
        </w:rPr>
        <w:t xml:space="preserve">פנייה לתובע רק אחרי קבלת החומר ובחינת התיעוד הרפואי. פנייה מוקדמת מדי, לפני שידוע מה בידי התביעה, מחלישה את עמדת המשא ומתן.</w:t>
      </w:r>
    </w:p>
    <w:p>
      <w:pPr>
        <w:keepNext/>
        <w:bidi/>
        <w:spacing w:after="120" w:before="360" w:line="360" w:lineRule="auto"/>
        <w:jc w:val="start"/>
      </w:pPr>
      <w:r>
        <w:rPr>
          <w:rFonts w:ascii="David" w:cs="David" w:eastAsia="David" w:hAnsi="David"/>
          <w:b/>
          <w:bCs/>
          <w:i w:val="false"/>
          <w:iCs w:val="false"/>
          <w:sz w:val="26"/>
          <w:szCs w:val="26"/>
          <w:u w:val="single"/>
          <w:rtl/>
        </w:rPr>
        <w:t xml:space="preserve">י. רשימת חומר לדרוש לפי סעיף 74 לחסד"פ</w:t>
      </w:r>
    </w:p>
    <w:p>
      <w:pPr>
        <w:bidi/>
        <w:spacing w:after="120" w:line="360" w:lineRule="auto"/>
        <w:jc w:val="both"/>
      </w:pPr>
      <w:r>
        <w:rPr>
          <w:rFonts w:ascii="David" w:cs="David" w:eastAsia="David" w:hAnsi="David"/>
          <w:b w:val="false"/>
          <w:bCs w:val="false"/>
          <w:i w:val="false"/>
          <w:iCs w:val="false"/>
          <w:sz w:val="24"/>
          <w:szCs w:val="24"/>
          <w:rtl/>
        </w:rPr>
        <w:t xml:space="preserve">הרשימה ערוכה לפי סדר עדיפות. יש לדרוש אותה בכתב מיחידת התביעות, ולתעד את מועד המסירה של כל פריט.</w:t>
      </w:r>
    </w:p>
    <w:p>
      <w:pPr>
        <w:keepNext/>
        <w:bidi/>
        <w:spacing w:after="80" w:before="240" w:line="360" w:lineRule="auto"/>
        <w:jc w:val="start"/>
      </w:pPr>
      <w:r>
        <w:rPr>
          <w:rFonts w:ascii="David" w:cs="David" w:eastAsia="David" w:hAnsi="David"/>
          <w:b/>
          <w:bCs/>
          <w:i w:val="false"/>
          <w:iCs w:val="false"/>
          <w:sz w:val="24"/>
          <w:szCs w:val="24"/>
          <w:rtl/>
        </w:rPr>
        <w:t xml:space="preserve">י.1 עדיפות ראשונה</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הודעת הנאשמת במשטרה, כולל טופס האזהרה, שעת הגבייה, זהות החוקר והשפה שבה נגבתה.</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הודעת נהג המיצובישי, וכל הודעה נוספת שלו (בזירה ובתחנה).</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מלוא התיעוד הרפואי של הנפגע: דו"ח מד"א, גיליון חדר מיון, סיכום אשפוז אם היה, פענוח הדמיה (רנטגן, CT) בכתב, ותעודה רפואית שהתביעה מתכוונת להגיש לפי סעיף 20 לפקודת הראיות.</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אישור תקינות הרמזור, זהות מי שערך אותו, תכנית הרמזור (אורך צהוב, זמן ביניים, פאזות), יומן תקלות ויומן בקר הרמזור ליום 16.03.2026, ומידע האם הצומת עובר למצב צהוב מהבהב בלילה.</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דו"ח בוחן תנועה, אם מונה, כולל סקיצה, מדידות, תמונות זירה, מיקום סופי של הרכבים וסימני בלימה.</w:t>
      </w:r>
    </w:p>
    <w:p>
      <w:pPr>
        <w:keepNext/>
        <w:bidi/>
        <w:spacing w:after="80" w:before="240" w:line="360" w:lineRule="auto"/>
        <w:jc w:val="start"/>
      </w:pPr>
      <w:r>
        <w:rPr>
          <w:rFonts w:ascii="David" w:cs="David" w:eastAsia="David" w:hAnsi="David"/>
          <w:b/>
          <w:bCs/>
          <w:i w:val="false"/>
          <w:iCs w:val="false"/>
          <w:sz w:val="24"/>
          <w:szCs w:val="24"/>
          <w:rtl/>
        </w:rPr>
        <w:t xml:space="preserve">י.2 עדיפות שנייה</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דו"ח פעולה של השוטר הראשון בזירה, יומן מוקד 100 (שעת הקריאה וזהות המדווח), והקלטת השיחה למוקד.</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תמונות נזק לשני הרכבים, וכל דו"ח שמאי או דו"ח נזק שנאסף.</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צילומי מצלמות מכל מקור: נתיבי ישראל, מצלמות אכיפה, עסקים סמוכים, מצלמות רכב. אם לא נאספו: תיעוד של הניסיון לאסוף, או אישור שלא נעשה ניסיון.</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תוצאות בדיקות שכרות וסמים לשני הנהגים, ואם לא בוצעו לנהג המעורב, הסבר לכך.</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הודעות עדים נוספים: נוסעים בשני הרכבים, נהגים אחרים, עוברי אורח.</w:t>
      </w:r>
    </w:p>
    <w:p>
      <w:pPr>
        <w:keepNext/>
        <w:bidi/>
        <w:spacing w:after="80" w:before="240" w:line="360" w:lineRule="auto"/>
        <w:jc w:val="start"/>
      </w:pPr>
      <w:r>
        <w:rPr>
          <w:rFonts w:ascii="David" w:cs="David" w:eastAsia="David" w:hAnsi="David"/>
          <w:b/>
          <w:bCs/>
          <w:i w:val="false"/>
          <w:iCs w:val="false"/>
          <w:sz w:val="24"/>
          <w:szCs w:val="24"/>
          <w:rtl/>
        </w:rPr>
        <w:t xml:space="preserve">י.3 עדיפות שלישית</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רישום תעבורתי של הנאשמת (לצורך טיעון לעונש) ומידע על פסילה מנהלית, אם הוטלה.</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כל בקשה משטרתית לנתוני תקשורת (פלט שיחות, איכון) של מי מהנהגים, ותוצאותיה.</w:t>
      </w:r>
    </w:p>
    <w:p>
      <w:pPr>
        <w:pStyle w:val="ListParagraph"/>
        <w:numPr>
          <w:ilvl w:val="0"/>
          <w:numId w:val="2"/>
        </w:numPr>
        <w:bidi/>
        <w:spacing w:after="120" w:line="360" w:lineRule="auto"/>
        <w:jc w:val="both"/>
      </w:pPr>
      <w:r>
        <w:rPr>
          <w:rFonts w:ascii="David" w:cs="David" w:eastAsia="David" w:hAnsi="David"/>
          <w:b w:val="false"/>
          <w:bCs w:val="false"/>
          <w:i w:val="false"/>
          <w:iCs w:val="false"/>
          <w:sz w:val="24"/>
          <w:szCs w:val="24"/>
          <w:rtl/>
        </w:rPr>
        <w:t xml:space="preserve">רשימת כל חומר החקירה (רשימת מוצגים) לפי סעיף 74(א) לחסד"פ, כדי לוודא שלא הושמט דבר.</w:t>
      </w:r>
    </w:p>
    <w:p>
      <w:pPr>
        <w:keepNext/>
        <w:bidi/>
        <w:spacing w:after="120" w:before="360" w:line="360" w:lineRule="auto"/>
        <w:jc w:val="start"/>
      </w:pPr>
      <w:r>
        <w:rPr>
          <w:rFonts w:ascii="David" w:cs="David" w:eastAsia="David" w:hAnsi="David"/>
          <w:b/>
          <w:bCs/>
          <w:i w:val="false"/>
          <w:iCs w:val="false"/>
          <w:sz w:val="26"/>
          <w:szCs w:val="26"/>
          <w:u w:val="single"/>
          <w:rtl/>
        </w:rPr>
        <w:t xml:space="preserve">יא. שאלות לנאשמת בפגישה הראשונה</w:t>
      </w:r>
    </w:p>
    <w:p>
      <w:pPr>
        <w:bidi/>
        <w:spacing w:after="120" w:line="360" w:lineRule="auto"/>
        <w:jc w:val="both"/>
      </w:pPr>
      <w:r>
        <w:rPr>
          <w:rFonts w:ascii="David" w:cs="David" w:eastAsia="David" w:hAnsi="David"/>
          <w:b w:val="false"/>
          <w:bCs w:val="false"/>
          <w:i w:val="false"/>
          <w:iCs w:val="false"/>
          <w:sz w:val="24"/>
          <w:szCs w:val="24"/>
          <w:rtl/>
        </w:rPr>
        <w:t xml:space="preserve">יש לגבות את הגרסה בפגישה ישירה, טרם חשיפת הנאשמת לחומר החקירה. להלן השאלות לפי סדר.</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0"/>
        <w:gridCol w:w="8512"/>
      </w:tblGrid>
      <w:tr>
        <w:trPr>
          <w:tblHeader/>
        </w:trPr>
        <w:tc>
          <w:tcPr>
            <w:tcW w:type="dxa" w:w="560"/>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w:t>
            </w:r>
          </w:p>
        </w:tc>
        <w:tc>
          <w:tcPr>
            <w:tcW w:type="dxa" w:w="8512"/>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השאלה</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1</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תארי את הנסיעה מתחילתה: מאין באת, לאן נסעת, כמה זמן נהגת לפני התאונה, האם הכרת את הצומת.</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2</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מה ראית ברמזור כשהתקרבת לצומת, ומאיזה מרחק? האם האור התחלף בזמן ההתקרבות? האם האטת, בלמת או המשכת באותה מהירות?</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3</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באיזו מהירות נסעת? מה מגבלת המהירות באותו קטע?</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4</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האם ראית את המיצובישי לפני הפגיעה? מאיזה כיוון, באיזה מרחק, האם היו פנסיו דולקים, האם נראה לך שנסע מהר?</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5</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האם היו נוסעים ברכבך? האם היו נוסעים ברכב המעורב?</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6</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האם השתמשת בטלפון, במערכת ניווט או במערכת המולטימדיה בדקות שלפני התאונה? האם השוטרים שאלו על כך או ביקשו את הטלפון?</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7</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מה אמרת בזירה, למי, ומה אמר הנהג המעורב בזירה? האם מישהו התנצל או האשים?</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8</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האם נגבתה ממך הודעה במשטרה? מתי, היכן, האם הוזהרת, האם היית פצועה או בהלם באותו זמן, מה בדיוק אמרת?</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9</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האם נערכה לך בדיקת נשיפה? האם ראית שנערכה לנהג המעורב?</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10</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האם נפגעת בעצמך? האם פנית לטיפול רפואי?</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11</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האם קצין משטרה פסל את רישיונך לאחר התאונה? לכמה זמן? האם הפקדת את הרישיון ומתי?</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12</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מה מצב הרכב לאחר התאונה, האם צולם, האם תוקן, האם הוגשה תביעת ביטוח, ומה נמסר לחברת הביטוח?</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13</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האם ברשותך צילומים, סרטוני מצלמת רכב, או פרטי עדים?</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14</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ותק הרישיון, סוג הרישיון, עבר תעבורתי, ניקוד קיים, והאם את "נהגת חדשה".</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15</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מידת התלות ברישיון: עבודה, ילדים, טיפול בבני משפחה, מקום מגורים ללא תחבורה ציבורית. (לצורך טיעון לעונש ול"נסיבות מיוחדות").</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16</w:t>
            </w:r>
          </w:p>
        </w:tc>
        <w:tc>
          <w:tcPr>
            <w:tcW w:type="dxa" w:w="85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האם יש בעיה בריאותית, בראייה או בתרופות שעלולה להיות רלוונטית? (יש לשקול היטב אם להעלות זאת, בשל השלכות על הרישיון).</w:t>
            </w:r>
          </w:p>
        </w:tc>
      </w:tr>
    </w:tbl>
    <w:p>
      <w:pPr>
        <w:keepNext/>
        <w:bidi/>
        <w:spacing w:after="120" w:before="360" w:line="360" w:lineRule="auto"/>
        <w:jc w:val="start"/>
      </w:pPr>
      <w:r>
        <w:rPr>
          <w:rFonts w:ascii="David" w:cs="David" w:eastAsia="David" w:hAnsi="David"/>
          <w:b/>
          <w:bCs/>
          <w:i w:val="false"/>
          <w:iCs w:val="false"/>
          <w:sz w:val="26"/>
          <w:szCs w:val="26"/>
          <w:u w:val="single"/>
          <w:rtl/>
        </w:rPr>
        <w:t xml:space="preserve">יב. תכנית פעולה מומלצת</w:t>
      </w:r>
    </w:p>
    <w:tbl>
      <w:tblPr>
        <w:bidiVisual/>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560"/>
        <w:gridCol w:w="4500"/>
        <w:gridCol w:w="4012"/>
      </w:tblGrid>
      <w:tr>
        <w:trPr>
          <w:tblHeader/>
        </w:trPr>
        <w:tc>
          <w:tcPr>
            <w:tcW w:type="dxa" w:w="560"/>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שלב</w:t>
            </w:r>
          </w:p>
        </w:tc>
        <w:tc>
          <w:tcPr>
            <w:tcW w:type="dxa" w:w="4500"/>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פעולה</w:t>
            </w:r>
          </w:p>
        </w:tc>
        <w:tc>
          <w:tcPr>
            <w:tcW w:type="dxa" w:w="4012"/>
            <w:tcBorders>
              <w:top w:val="single" w:color="808080" w:sz="4"/>
              <w:left w:val="single" w:color="808080" w:sz="4"/>
              <w:bottom w:val="single" w:color="808080" w:sz="4"/>
              <w:right w:val="single" w:color="808080" w:sz="4"/>
            </w:tcBorders>
            <w:shd w:fill="E7E6E6" w:val="clear"/>
            <w:tcMar>
              <w:top w:type="dxa" w:w="60"/>
              <w:left w:type="dxa" w:w="100"/>
              <w:bottom w:type="dxa" w:w="60"/>
              <w:right w:type="dxa" w:w="100"/>
            </w:tcMar>
            <w:vAlign w:val="top"/>
          </w:tcPr>
          <w:p>
            <w:pPr>
              <w:bidi/>
              <w:spacing w:after="40" w:line="276" w:lineRule="auto"/>
              <w:jc w:val="center"/>
            </w:pPr>
            <w:r>
              <w:rPr>
                <w:rFonts w:ascii="David" w:cs="David" w:eastAsia="David" w:hAnsi="David"/>
                <w:b/>
                <w:bCs/>
                <w:i w:val="false"/>
                <w:iCs w:val="false"/>
                <w:sz w:val="22"/>
                <w:szCs w:val="22"/>
                <w:rtl/>
              </w:rPr>
              <w:t xml:space="preserve">עיתוי</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1</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קבלת עמוד 2 של כתב האישום (הוראות החיקוק ורשימת עדי תביעה) ומועד הדיון.</w:t>
            </w:r>
          </w:p>
        </w:tc>
        <w:tc>
          <w:tcPr>
            <w:tcW w:type="dxa" w:w="40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מיד</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2</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פגישה עם הנאשמת וגביית גרסה מלאה לפי פרק יא. תיאום עם חברת הביטוח שלה לפני כל הודאה.</w:t>
            </w:r>
          </w:p>
        </w:tc>
        <w:tc>
          <w:tcPr>
            <w:tcW w:type="dxa" w:w="40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בתוך שבוע</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3</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הגשת בקשה בכתב לעיון בחומר חקירה לפי סעיף 74, עם רשימת פרק י.</w:t>
            </w:r>
          </w:p>
        </w:tc>
        <w:tc>
          <w:tcPr>
            <w:tcW w:type="dxa" w:w="40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מיד, במקביל לשלב 2</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4</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בדיון ההקראה: בקשה לדחיית המענה עד השלמת העיון. אין להשיב לאישום.</w:t>
            </w:r>
          </w:p>
        </w:tc>
        <w:tc>
          <w:tcPr>
            <w:tcW w:type="dxa" w:w="40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בדיון הראשון</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5</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לאחר קבלת החומר: בדיקת התיעוד הרפואי עם רופא, בדיקת נתוני הרמזור, והחלטה על מינוי בוחן תאונות פרטי (בתרחיש א בלבד).</w:t>
            </w:r>
          </w:p>
        </w:tc>
        <w:tc>
          <w:tcPr>
            <w:tcW w:type="dxa" w:w="40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בתוך שבועיים מקבלת החומר</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6</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הכנת שאלות מחקר משפטי לאימות: מבחן "חבלה של ממש", "נסיבות מיוחדות" בסעיף 38, מדיניות ענישה בתיקי רמזור עם שברים, ומחדלי חקירה בתאונות צומת.</w:t>
            </w:r>
          </w:p>
        </w:tc>
        <w:tc>
          <w:tcPr>
            <w:tcW w:type="dxa" w:w="40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במקביל לשלב 5</w:t>
            </w:r>
          </w:p>
        </w:tc>
      </w:tr>
      <w:tr>
        <w:trPr>
          <w:cantSplit/>
        </w:trPr>
        <w:tc>
          <w:tcPr>
            <w:tcW w:type="dxa" w:w="56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7</w:t>
            </w:r>
          </w:p>
        </w:tc>
        <w:tc>
          <w:tcPr>
            <w:tcW w:type="dxa" w:w="4500"/>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פנייה לתובע להסדר לפי פרק ט, או הודעה על כפירה והכנה להוכחות.</w:t>
            </w:r>
          </w:p>
        </w:tc>
        <w:tc>
          <w:tcPr>
            <w:tcW w:type="dxa" w:w="4012"/>
            <w:tcBorders>
              <w:top w:val="single" w:color="808080" w:sz="4"/>
              <w:left w:val="single" w:color="808080" w:sz="4"/>
              <w:bottom w:val="single" w:color="808080" w:sz="4"/>
              <w:right w:val="single" w:color="808080" w:sz="4"/>
            </w:tcBorders>
            <w:tcMar>
              <w:top w:type="dxa" w:w="60"/>
              <w:left w:type="dxa" w:w="100"/>
              <w:bottom w:type="dxa" w:w="60"/>
              <w:right w:type="dxa" w:w="100"/>
            </w:tcMar>
            <w:vAlign w:val="top"/>
          </w:tcPr>
          <w:p>
            <w:pPr>
              <w:bidi/>
              <w:spacing w:after="40" w:line="276" w:lineRule="auto"/>
              <w:jc w:val="start"/>
            </w:pPr>
            <w:r>
              <w:rPr>
                <w:rFonts w:ascii="David" w:cs="David" w:eastAsia="David" w:hAnsi="David"/>
                <w:b w:val="false"/>
                <w:bCs w:val="false"/>
                <w:i w:val="false"/>
                <w:iCs w:val="false"/>
                <w:sz w:val="22"/>
                <w:szCs w:val="22"/>
                <w:rtl/>
              </w:rPr>
              <w:t xml:space="preserve">אחרי שלבים 5-6</w:t>
            </w:r>
          </w:p>
        </w:tc>
      </w:tr>
    </w:tbl>
    <w:p>
      <w:pPr>
        <w:keepNext/>
        <w:bidi/>
        <w:spacing w:after="120" w:before="360" w:line="360" w:lineRule="auto"/>
        <w:jc w:val="start"/>
      </w:pPr>
      <w:r>
        <w:rPr>
          <w:rFonts w:ascii="David" w:cs="David" w:eastAsia="David" w:hAnsi="David"/>
          <w:b/>
          <w:bCs/>
          <w:i w:val="false"/>
          <w:iCs w:val="false"/>
          <w:sz w:val="26"/>
          <w:szCs w:val="26"/>
          <w:u w:val="single"/>
          <w:rtl/>
        </w:rPr>
        <w:t xml:space="preserve">יג. הסתייגויות</w:t>
      </w:r>
    </w:p>
    <w:p>
      <w:pPr>
        <w:pStyle w:val="ListParagraph"/>
        <w:numPr>
          <w:ilvl w:val="0"/>
          <w:numId w:val="3"/>
        </w:numPr>
        <w:bidi/>
        <w:spacing w:after="60" w:line="360" w:lineRule="auto"/>
        <w:jc w:val="both"/>
      </w:pPr>
      <w:r>
        <w:rPr>
          <w:rFonts w:ascii="David" w:cs="David" w:eastAsia="David" w:hAnsi="David"/>
          <w:b w:val="false"/>
          <w:bCs w:val="false"/>
          <w:i w:val="false"/>
          <w:iCs w:val="false"/>
          <w:sz w:val="24"/>
          <w:szCs w:val="24"/>
          <w:rtl/>
        </w:rPr>
        <w:t xml:space="preserve">המזכר מבוסס על עמוד עובדות אחד, בצילום שבו סעיף 5 קטוע. כל מסקנה כפופה לחומר החקירה ולגרסת הנאשמת.</w:t>
      </w:r>
    </w:p>
    <w:p>
      <w:pPr>
        <w:pStyle w:val="ListParagraph"/>
        <w:numPr>
          <w:ilvl w:val="0"/>
          <w:numId w:val="3"/>
        </w:numPr>
        <w:bidi/>
        <w:spacing w:after="60" w:line="360" w:lineRule="auto"/>
        <w:jc w:val="both"/>
      </w:pPr>
      <w:r>
        <w:rPr>
          <w:rFonts w:ascii="David" w:cs="David" w:eastAsia="David" w:hAnsi="David"/>
          <w:b w:val="false"/>
          <w:bCs w:val="false"/>
          <w:i w:val="false"/>
          <w:iCs w:val="false"/>
          <w:sz w:val="24"/>
          <w:szCs w:val="24"/>
          <w:rtl/>
        </w:rPr>
        <w:t xml:space="preserve">הפניות החקיקה במזכר נכתבו מזיכרון מקצועי ויש לאמתן מול הנוסח העדכני, ובפרט: נוסח סעיף 38 והתוספות שאליהן הוא מפנה, ערכי הניקוד בתוספת השישית, וסעיפים 20 ו-26 לפקודת הראיות.</w:t>
      </w:r>
    </w:p>
    <w:p>
      <w:pPr>
        <w:pStyle w:val="ListParagraph"/>
        <w:numPr>
          <w:ilvl w:val="0"/>
          <w:numId w:val="3"/>
        </w:numPr>
        <w:bidi/>
        <w:spacing w:after="60" w:line="360" w:lineRule="auto"/>
        <w:jc w:val="both"/>
      </w:pPr>
      <w:r>
        <w:rPr>
          <w:rFonts w:ascii="David" w:cs="David" w:eastAsia="David" w:hAnsi="David"/>
          <w:b w:val="false"/>
          <w:bCs w:val="false"/>
          <w:i w:val="false"/>
          <w:iCs w:val="false"/>
          <w:sz w:val="24"/>
          <w:szCs w:val="24"/>
          <w:rtl/>
        </w:rPr>
        <w:t xml:space="preserve">לא צוינו אסמכתאות פסיקתיות בכוונה, כדי להימנע מהפניה לא מאומתת. הן יושלמו בשלב המחקר המשפטי.</w:t>
      </w:r>
    </w:p>
    <w:p>
      <w:pPr>
        <w:pStyle w:val="ListParagraph"/>
        <w:numPr>
          <w:ilvl w:val="0"/>
          <w:numId w:val="3"/>
        </w:numPr>
        <w:bidi/>
        <w:spacing w:after="60" w:line="360" w:lineRule="auto"/>
        <w:jc w:val="both"/>
      </w:pPr>
      <w:r>
        <w:rPr>
          <w:rFonts w:ascii="David" w:cs="David" w:eastAsia="David" w:hAnsi="David"/>
          <w:b w:val="false"/>
          <w:bCs w:val="false"/>
          <w:i w:val="false"/>
          <w:iCs w:val="false"/>
          <w:sz w:val="24"/>
          <w:szCs w:val="24"/>
          <w:rtl/>
        </w:rPr>
        <w:t xml:space="preserve">הערכות הסיכויים והטווחים העונשיים משקפות ניסיון כללי בבתי משפט לתעבורה ולא סטטיסטיקה. הן ישתנו לפי הרכב, המחוז ונסיבות התיק.</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b w:val="false"/>
        <w:bCs w:val="false"/>
        <w:i w:val="false"/>
        <w:iCs w:val="false"/>
        <w:sz w:val="18"/>
        <w:szCs w:val="18"/>
        <w:rtl/>
      </w:rPr>
      <w:t xml:space="preserve">עמוד </w:t>
    </w:r>
    <w:r>
      <w:rPr>
        <w:rFonts w:ascii="David" w:cs="David" w:eastAsia="David" w:hAnsi="David"/>
        <w:sz w:val="18"/>
        <w:szCs w:val="18"/>
        <w:rtl/>
      </w:rPr>
      <w:fldChar w:fldCharType="begin"/>
      <w:instrText xml:space="preserve">PAGE</w:instrText>
      <w:fldChar w:fldCharType="separate"/>
      <w:fldChar w:fldCharType="end"/>
    </w:r>
    <w:r>
      <w:rPr>
        <w:rFonts w:ascii="David" w:cs="David" w:eastAsia="David" w:hAnsi="David"/>
        <w:b w:val="false"/>
        <w:bCs w:val="false"/>
        <w:i w:val="false"/>
        <w:iCs w:val="false"/>
        <w:sz w:val="18"/>
        <w:szCs w:val="18"/>
        <w:rtl/>
      </w:rPr>
      <w:t xml:space="preserve"> מתוך </w:t>
    </w:r>
    <w:r>
      <w:rPr>
        <w:rFonts w:ascii="David" w:cs="David" w:eastAsia="David" w:hAnsi="David"/>
        <w:sz w:val="18"/>
        <w:szCs w:val="18"/>
        <w:rtl/>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center"/>
    </w:pPr>
    <w:r>
      <w:rPr>
        <w:rFonts w:ascii="David" w:cs="David" w:eastAsia="David" w:hAnsi="David"/>
        <w:b/>
        <w:bCs/>
        <w:i w:val="false"/>
        <w:iCs w:val="false"/>
        <w:sz w:val="18"/>
        <w:szCs w:val="18"/>
        <w:rtl/>
      </w:rPr>
      <w:t xml:space="preserve">חסוי - חומר הכנה לייצוג משפטי</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suff w:val="tab"/>
      <w:lvlText w:val="%1."/>
      <w:lvlJc w:val="start"/>
      <w:pPr>
        <w:ind w:left="567" w:hanging="567"/>
      </w:pPr>
    </w:lvl>
  </w:abstractNum>
  <w:abstractNum w:abstractNumId="3" w15:restartNumberingAfterBreak="0">
    <w:multiLevelType w:val="hybridMultilevel"/>
    <w:lvl w:ilvl="0" w15:tentative="1">
      <w:start w:val="1"/>
      <w:numFmt w:val="bullet"/>
      <w:suff w:val="tab"/>
      <w:lvlText w:val="•"/>
      <w:lvlJc w:val="start"/>
      <w:pPr>
        <w:ind w:left="567"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מזכר פנימי - ניתוח הגנה ראשוני</dc:title>
  <dc:creator>משרד עורכי דין</dc:creator>
  <cp:lastModifiedBy>Un-named</cp:lastModifiedBy>
  <cp:revision>1</cp:revision>
  <dcterms:created xsi:type="dcterms:W3CDTF">2026-09-08T15:47:20.369Z</dcterms:created>
  <dcterms:modified xsi:type="dcterms:W3CDTF">2026-09-08T15:47:20.379Z</dcterms:modified>
</cp:coreProperties>
</file>

<file path=docProps/custom.xml><?xml version="1.0" encoding="utf-8"?>
<Properties xmlns="http://schemas.openxmlformats.org/officeDocument/2006/custom-properties" xmlns:vt="http://schemas.openxmlformats.org/officeDocument/2006/docPropsVTypes"/>
</file>