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none" w:color="FFFFFF" w:sz="0"/>
              <w:left w:val="none" w:color="FFFFFF" w:sz="0"/>
              <w:bottom w:val="none" w:color="FFFFFF" w:sz="0"/>
              <w:right w:val="none" w:color="FFFFFF" w:sz="0"/>
            </w:tcBorders>
            <w:tcMar>
              <w:top w:type="dxa" w:w="0"/>
              <w:left w:type="dxa" w:w="60"/>
              <w:bottom w:type="dxa" w:w="0"/>
              <w:right w:type="dxa" w:w="60"/>
            </w:tcMar>
          </w:tcPr>
          <w:p>
            <w:pPr>
              <w:bidi/>
              <w:spacing w:after="0" w:before="0" w:line="276" w:lineRule="auto"/>
              <w:jc w:val="start"/>
            </w:pPr>
            <w:r>
              <w:rPr>
                <w:rFonts w:ascii="David" w:cs="David" w:eastAsia="David" w:hAnsi="David"/>
                <w:b/>
                <w:bCs/>
                <w:sz w:val="26"/>
                <w:szCs w:val="26"/>
                <w:rtl/>
              </w:rPr>
              <w:t xml:space="preserve">בבית הדין הרבני האזורי ברחובות</w:t>
            </w:r>
          </w:p>
          <w:p>
            <w:pPr>
              <w:bidi/>
              <w:spacing w:after="0" w:before="0" w:line="276" w:lineRule="auto"/>
              <w:jc w:val="start"/>
            </w:pPr>
            <w:r>
              <w:rPr>
                <w:rFonts w:ascii="David" w:cs="David" w:eastAsia="David" w:hAnsi="David"/>
                <w:b w:val="false"/>
                <w:bCs w:val="false"/>
                <w:sz w:val="24"/>
                <w:szCs w:val="24"/>
                <w:rtl/>
              </w:rPr>
              <w:t xml:space="preserve">לפני כב' הדיין הרב אבידן משה שפנייר</w:t>
            </w:r>
          </w:p>
        </w:tc>
        <w:tc>
          <w:tcPr>
            <w:tcW w:type="dxa" w:w="4536"/>
            <w:tcBorders>
              <w:top w:val="none" w:color="FFFFFF" w:sz="0"/>
              <w:left w:val="none" w:color="FFFFFF" w:sz="0"/>
              <w:bottom w:val="none" w:color="FFFFFF" w:sz="0"/>
              <w:right w:val="none" w:color="FFFFFF" w:sz="0"/>
            </w:tcBorders>
            <w:tcMar>
              <w:top w:type="dxa" w:w="0"/>
              <w:left w:type="dxa" w:w="60"/>
              <w:bottom w:type="dxa" w:w="0"/>
              <w:right w:type="dxa" w:w="60"/>
            </w:tcMar>
          </w:tcPr>
          <w:p>
            <w:pPr>
              <w:bidi/>
              <w:spacing w:after="0" w:before="0" w:line="276" w:lineRule="auto"/>
              <w:jc w:val="end"/>
            </w:pPr>
            <w:r>
              <w:rPr>
                <w:rFonts w:ascii="David" w:cs="David" w:eastAsia="David" w:hAnsi="David"/>
                <w:b/>
                <w:bCs/>
                <w:sz w:val="26"/>
                <w:szCs w:val="26"/>
                <w:rtl/>
              </w:rPr>
              <w:t xml:space="preserve">תיק מס' 1298590/5</w:t>
            </w:r>
          </w:p>
          <w:p>
            <w:pPr>
              <w:bidi/>
              <w:spacing w:after="0" w:before="0" w:line="276" w:lineRule="auto"/>
              <w:jc w:val="end"/>
            </w:pPr>
            <w:r>
              <w:rPr>
                <w:rFonts w:ascii="David" w:cs="David" w:eastAsia="David" w:hAnsi="David"/>
                <w:b w:val="false"/>
                <w:bCs w:val="false"/>
                <w:sz w:val="24"/>
                <w:szCs w:val="24"/>
                <w:rtl/>
              </w:rPr>
              <w:t xml:space="preserve">7.9.2026</w:t>
            </w:r>
          </w:p>
        </w:tc>
      </w:tr>
    </w:tbl>
    <w:p>
      <w:pPr>
        <w:bidi/>
        <w:spacing w:after="120" w:before="0" w:line="240" w:lineRule="auto"/>
        <w:jc w:val="both"/>
      </w:pPr>
      <w:r>
        <w:rPr>
          <w:rFonts w:ascii="David" w:cs="David" w:eastAsia="David" w:hAnsi="David"/>
          <w:b w:val="false"/>
          <w:bCs w:val="false"/>
          <w:sz w:val="24"/>
          <w:szCs w:val="24"/>
          <w:rtl/>
        </w:rPr>
        <w:t xml:space="preserve"/>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7072"/>
      </w:tblGrid>
      <w:tr>
        <w:tc>
          <w:tcPr>
            <w:tcW w:type="dxa" w:w="2000"/>
            <w:tcBorders>
              <w:top w:val="none" w:color="FFFFFF" w:sz="0"/>
              <w:left w:val="none" w:color="FFFFFF" w:sz="0"/>
              <w:bottom w:val="none" w:color="FFFFFF" w:sz="0"/>
              <w:right w:val="none" w:color="FFFFFF" w:sz="0"/>
            </w:tcBorders>
            <w:tcMar>
              <w:top w:type="dxa" w:w="0"/>
              <w:left w:type="dxa" w:w="60"/>
              <w:bottom w:type="dxa" w:w="0"/>
              <w:right w:type="dxa" w:w="60"/>
            </w:tcMar>
          </w:tcPr>
          <w:p>
            <w:pPr>
              <w:bidi/>
              <w:spacing w:after="0" w:before="0" w:line="276" w:lineRule="auto"/>
              <w:jc w:val="start"/>
            </w:pPr>
            <w:r>
              <w:rPr>
                <w:rFonts w:ascii="David" w:cs="David" w:eastAsia="David" w:hAnsi="David"/>
                <w:b/>
                <w:bCs/>
                <w:sz w:val="24"/>
                <w:szCs w:val="24"/>
                <w:rtl/>
              </w:rPr>
              <w:t xml:space="preserve">התובעת (האם):</w:t>
            </w:r>
          </w:p>
        </w:tc>
        <w:tc>
          <w:tcPr>
            <w:tcW w:type="dxa" w:w="7072"/>
            <w:tcBorders>
              <w:top w:val="none" w:color="FFFFFF" w:sz="0"/>
              <w:left w:val="none" w:color="FFFFFF" w:sz="0"/>
              <w:bottom w:val="none" w:color="FFFFFF" w:sz="0"/>
              <w:right w:val="none" w:color="FFFFFF" w:sz="0"/>
            </w:tcBorders>
            <w:tcMar>
              <w:top w:type="dxa" w:w="0"/>
              <w:left w:type="dxa" w:w="60"/>
              <w:bottom w:type="dxa" w:w="0"/>
              <w:right w:type="dxa" w:w="60"/>
            </w:tcMar>
          </w:tcPr>
          <w:p>
            <w:pPr>
              <w:bidi/>
              <w:spacing w:after="0" w:before="0" w:line="276" w:lineRule="auto"/>
              <w:jc w:val="start"/>
            </w:pPr>
            <w:r>
              <w:rPr>
                <w:rFonts w:ascii="David" w:cs="David" w:eastAsia="David" w:hAnsi="David"/>
                <w:b/>
                <w:bCs/>
                <w:sz w:val="24"/>
                <w:szCs w:val="24"/>
                <w:rtl/>
              </w:rPr>
              <w:t xml:space="preserve">ישאמבת עלמיהו</w:t>
            </w:r>
            <w:r>
              <w:rPr>
                <w:rFonts w:ascii="David" w:cs="David" w:eastAsia="David" w:hAnsi="David"/>
                <w:b w:val="false"/>
                <w:bCs w:val="false"/>
                <w:sz w:val="24"/>
                <w:szCs w:val="24"/>
                <w:rtl/>
              </w:rPr>
              <w:t xml:space="preserve">, ת.ז. 319506812</w:t>
            </w:r>
          </w:p>
          <w:p>
            <w:pPr>
              <w:bidi/>
              <w:spacing w:after="0" w:before="0" w:line="276" w:lineRule="auto"/>
              <w:jc w:val="start"/>
            </w:pPr>
            <w:r>
              <w:rPr>
                <w:rFonts w:ascii="David" w:cs="David" w:eastAsia="David" w:hAnsi="David"/>
                <w:b w:val="false"/>
                <w:bCs w:val="false"/>
                <w:sz w:val="24"/>
                <w:szCs w:val="24"/>
                <w:rtl/>
              </w:rPr>
              <w:t xml:space="preserve">ע"י ב"כ עו"ד סולומון טקה</w:t>
            </w:r>
          </w:p>
        </w:tc>
      </w:tr>
      <w:tr>
        <w:tc>
          <w:tcPr>
            <w:tcW w:type="dxa" w:w="9072"/>
            <w:gridSpan w:val="2"/>
            <w:tcBorders>
              <w:top w:val="none" w:color="FFFFFF" w:sz="0"/>
              <w:left w:val="none" w:color="FFFFFF" w:sz="0"/>
              <w:bottom w:val="none" w:color="FFFFFF" w:sz="0"/>
              <w:right w:val="none" w:color="FFFFFF" w:sz="0"/>
            </w:tcBorders>
            <w:tcMar>
              <w:top w:type="dxa" w:w="0"/>
              <w:left w:type="dxa" w:w="60"/>
              <w:bottom w:type="dxa" w:w="0"/>
              <w:right w:type="dxa" w:w="60"/>
            </w:tcMar>
          </w:tcPr>
          <w:p>
            <w:pPr>
              <w:bidi/>
              <w:spacing w:after="120" w:before="120" w:line="276" w:lineRule="auto"/>
              <w:jc w:val="center"/>
            </w:pPr>
            <w:r>
              <w:rPr>
                <w:rFonts w:ascii="David" w:cs="David" w:eastAsia="David" w:hAnsi="David"/>
                <w:b/>
                <w:bCs/>
                <w:sz w:val="24"/>
                <w:szCs w:val="24"/>
                <w:rtl/>
              </w:rPr>
              <w:t xml:space="preserve">- נ ג ד -</w:t>
            </w:r>
          </w:p>
        </w:tc>
      </w:tr>
      <w:tr>
        <w:tc>
          <w:tcPr>
            <w:tcW w:type="dxa" w:w="2000"/>
            <w:tcBorders>
              <w:top w:val="none" w:color="FFFFFF" w:sz="0"/>
              <w:left w:val="none" w:color="FFFFFF" w:sz="0"/>
              <w:bottom w:val="none" w:color="FFFFFF" w:sz="0"/>
              <w:right w:val="none" w:color="FFFFFF" w:sz="0"/>
            </w:tcBorders>
            <w:tcMar>
              <w:top w:type="dxa" w:w="0"/>
              <w:left w:type="dxa" w:w="60"/>
              <w:bottom w:type="dxa" w:w="0"/>
              <w:right w:type="dxa" w:w="60"/>
            </w:tcMar>
          </w:tcPr>
          <w:p>
            <w:pPr>
              <w:bidi/>
              <w:spacing w:after="0" w:before="0" w:line="276" w:lineRule="auto"/>
              <w:jc w:val="start"/>
            </w:pPr>
            <w:r>
              <w:rPr>
                <w:rFonts w:ascii="David" w:cs="David" w:eastAsia="David" w:hAnsi="David"/>
                <w:b/>
                <w:bCs/>
                <w:sz w:val="24"/>
                <w:szCs w:val="24"/>
                <w:rtl/>
              </w:rPr>
              <w:t xml:space="preserve">הנתבע (האב):</w:t>
            </w:r>
          </w:p>
        </w:tc>
        <w:tc>
          <w:tcPr>
            <w:tcW w:type="dxa" w:w="7072"/>
            <w:tcBorders>
              <w:top w:val="none" w:color="FFFFFF" w:sz="0"/>
              <w:left w:val="none" w:color="FFFFFF" w:sz="0"/>
              <w:bottom w:val="none" w:color="FFFFFF" w:sz="0"/>
              <w:right w:val="none" w:color="FFFFFF" w:sz="0"/>
            </w:tcBorders>
            <w:tcMar>
              <w:top w:type="dxa" w:w="0"/>
              <w:left w:type="dxa" w:w="60"/>
              <w:bottom w:type="dxa" w:w="0"/>
              <w:right w:type="dxa" w:w="60"/>
            </w:tcMar>
          </w:tcPr>
          <w:p>
            <w:pPr>
              <w:bidi/>
              <w:spacing w:after="0" w:before="0" w:line="276" w:lineRule="auto"/>
              <w:jc w:val="start"/>
            </w:pPr>
            <w:r>
              <w:rPr>
                <w:rFonts w:ascii="David" w:cs="David" w:eastAsia="David" w:hAnsi="David"/>
                <w:b/>
                <w:bCs/>
                <w:sz w:val="24"/>
                <w:szCs w:val="24"/>
                <w:rtl/>
              </w:rPr>
              <w:t xml:space="preserve">סיטוטאו אסנקה</w:t>
            </w:r>
            <w:r>
              <w:rPr>
                <w:rFonts w:ascii="David" w:cs="David" w:eastAsia="David" w:hAnsi="David"/>
                <w:b w:val="false"/>
                <w:bCs w:val="false"/>
                <w:sz w:val="24"/>
                <w:szCs w:val="24"/>
                <w:rtl/>
              </w:rPr>
              <w:t xml:space="preserve">, ת.ז. 321836330</w:t>
            </w:r>
          </w:p>
          <w:p>
            <w:pPr>
              <w:bidi/>
              <w:spacing w:after="0" w:before="0" w:line="276" w:lineRule="auto"/>
              <w:jc w:val="start"/>
            </w:pPr>
            <w:r>
              <w:rPr>
                <w:rFonts w:ascii="David" w:cs="David" w:eastAsia="David" w:hAnsi="David"/>
                <w:b w:val="false"/>
                <w:bCs w:val="false"/>
                <w:sz w:val="24"/>
                <w:szCs w:val="24"/>
                <w:rtl/>
              </w:rPr>
              <w:t xml:space="preserve">ע"י ב"כ עו"ד צפנת חן כהן</w:t>
            </w:r>
          </w:p>
        </w:tc>
      </w:tr>
    </w:tbl>
    <w:p>
      <w:pPr>
        <w:bidi/>
        <w:spacing w:after="60" w:before="360" w:line="360" w:lineRule="auto"/>
        <w:jc w:val="center"/>
      </w:pPr>
      <w:r>
        <w:rPr>
          <w:rFonts w:ascii="David" w:cs="David" w:eastAsia="David" w:hAnsi="David"/>
          <w:b/>
          <w:bCs/>
          <w:sz w:val="28"/>
          <w:szCs w:val="28"/>
          <w:u w:val="single"/>
          <w:rtl/>
        </w:rPr>
        <w:t xml:space="preserve">הודעה מטעם התובעת</w:t>
      </w:r>
    </w:p>
    <w:p>
      <w:pPr>
        <w:bidi/>
        <w:spacing w:after="240" w:before="0" w:line="360" w:lineRule="auto"/>
        <w:jc w:val="center"/>
      </w:pPr>
      <w:r>
        <w:rPr>
          <w:rFonts w:ascii="David" w:cs="David" w:eastAsia="David" w:hAnsi="David"/>
          <w:b/>
          <w:bCs/>
          <w:sz w:val="24"/>
          <w:szCs w:val="24"/>
          <w:rtl/>
        </w:rPr>
        <w:t xml:space="preserve">(בעניין צו ההגנה שתוקפו עד ליום 10.9.2026, בהתאם להחלטת בית הדין מיום 13.8.2026)</w:t>
      </w:r>
    </w:p>
    <w:p>
      <w:pPr>
        <w:pStyle w:val="ListParagraph"/>
        <w:numPr>
          <w:ilvl w:val="0"/>
          <w:numId w:val="2"/>
        </w:numPr>
        <w:bidi/>
        <w:spacing w:after="120" w:before="0" w:line="360" w:lineRule="auto"/>
        <w:jc w:val="both"/>
      </w:pPr>
      <w:r>
        <w:rPr>
          <w:rFonts w:ascii="David" w:cs="David" w:eastAsia="David" w:hAnsi="David"/>
          <w:b w:val="false"/>
          <w:bCs w:val="false"/>
          <w:sz w:val="24"/>
          <w:szCs w:val="24"/>
          <w:rtl/>
        </w:rPr>
        <w:t xml:space="preserve">בהחלטת בית הדין הנכבד מיום 13.8.2026 הוארך תוקף צו ההגנה באופן זמני עד ליום </w:t>
      </w:r>
      <w:r>
        <w:rPr>
          <w:rFonts w:ascii="David" w:cs="David" w:eastAsia="David" w:hAnsi="David"/>
          <w:b/>
          <w:bCs/>
          <w:sz w:val="24"/>
          <w:szCs w:val="24"/>
          <w:rtl/>
        </w:rPr>
        <w:t xml:space="preserve">10.9.2026</w:t>
      </w:r>
      <w:r>
        <w:rPr>
          <w:rFonts w:ascii="David" w:cs="David" w:eastAsia="David" w:hAnsi="David"/>
          <w:b w:val="false"/>
          <w:bCs w:val="false"/>
          <w:sz w:val="24"/>
          <w:szCs w:val="24"/>
          <w:rtl/>
        </w:rPr>
        <w:t xml:space="preserve">, ונקבע כי ניתן להגיש בקשה נוספת בעניין החל מיום 6.9.2026.</w:t>
      </w:r>
    </w:p>
    <w:p>
      <w:pPr>
        <w:pStyle w:val="ListParagraph"/>
        <w:numPr>
          <w:ilvl w:val="0"/>
          <w:numId w:val="2"/>
        </w:numPr>
        <w:bidi/>
        <w:spacing w:after="120" w:before="0" w:line="360" w:lineRule="auto"/>
        <w:jc w:val="both"/>
      </w:pPr>
      <w:r>
        <w:rPr>
          <w:rFonts w:ascii="David" w:cs="David" w:eastAsia="David" w:hAnsi="David"/>
          <w:b w:val="false"/>
          <w:bCs w:val="false"/>
          <w:sz w:val="24"/>
          <w:szCs w:val="24"/>
          <w:rtl/>
        </w:rPr>
        <w:t xml:space="preserve">לאחר שיקול דעת, ובראש ובראשונה מתוך דאגה לטובת הקטינים ולקיום זמני השהות באופן רגוע ויציב, ובהתחשב בעמדת הנתבע, התובעת מודיעה כי לא תעתור להארכת תוקפו של הצו, והוא יפקע במועדו.</w:t>
      </w:r>
    </w:p>
    <w:p>
      <w:pPr>
        <w:pStyle w:val="ListParagraph"/>
        <w:numPr>
          <w:ilvl w:val="0"/>
          <w:numId w:val="2"/>
        </w:numPr>
        <w:bidi/>
        <w:spacing w:after="120" w:before="0" w:line="360" w:lineRule="auto"/>
        <w:jc w:val="both"/>
      </w:pPr>
      <w:r>
        <w:rPr>
          <w:rFonts w:ascii="David" w:cs="David" w:eastAsia="David" w:hAnsi="David"/>
          <w:b w:val="false"/>
          <w:bCs w:val="false"/>
          <w:sz w:val="24"/>
          <w:szCs w:val="24"/>
          <w:rtl/>
        </w:rPr>
        <w:t xml:space="preserve">התובעת ערה לכך שלפי עדכון האפוטרופוס לדין מיום 12.8.2026, עם פקיעת הצו יסתיים גם הסדר הליווי במסירת הקטינות ובהשבתן, ומסכימה, לטובת הקטינים, כי המסירות ייעשו מעתה ללא ליווי.</w:t>
      </w:r>
    </w:p>
    <w:p>
      <w:pPr>
        <w:pStyle w:val="ListParagraph"/>
        <w:numPr>
          <w:ilvl w:val="0"/>
          <w:numId w:val="2"/>
        </w:numPr>
        <w:bidi/>
        <w:spacing w:after="120" w:before="0" w:line="360" w:lineRule="auto"/>
        <w:jc w:val="both"/>
      </w:pPr>
      <w:r>
        <w:rPr>
          <w:rFonts w:ascii="David" w:cs="David" w:eastAsia="David" w:hAnsi="David"/>
          <w:b w:val="false"/>
          <w:bCs w:val="false"/>
          <w:sz w:val="24"/>
          <w:szCs w:val="24"/>
          <w:rtl/>
        </w:rPr>
        <w:t xml:space="preserve">מובהר כי אין בהודעה זו משום הודאה כי החשש שבגינו ניתן הצו חלף, ואין בה כדי לגרוע מזכות התובעת לפנות לבית הדין הנכבד בכל עת, לרבות בבקשה למתן צו הגנה, ככל שיתעורר בכך צורך.</w:t>
      </w:r>
    </w:p>
    <w:p>
      <w:pPr>
        <w:pStyle w:val="ListParagraph"/>
        <w:numPr>
          <w:ilvl w:val="0"/>
          <w:numId w:val="2"/>
        </w:numPr>
        <w:bidi/>
        <w:spacing w:after="480" w:before="0" w:line="360" w:lineRule="auto"/>
        <w:jc w:val="both"/>
      </w:pPr>
      <w:r>
        <w:rPr>
          <w:rFonts w:ascii="David" w:cs="David" w:eastAsia="David" w:hAnsi="David"/>
          <w:b w:val="false"/>
          <w:bCs w:val="false"/>
          <w:sz w:val="24"/>
          <w:szCs w:val="24"/>
          <w:rtl/>
        </w:rPr>
        <w:t xml:space="preserve">הודעה זו מובאת לידיעת בית הדין הנכבד והאפוטרופוס לדין. העתק נשלח לב"כ הנתבע.</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none" w:color="FFFFFF" w:sz="0"/>
              <w:left w:val="none" w:color="FFFFFF" w:sz="0"/>
              <w:bottom w:val="none" w:color="FFFFFF" w:sz="0"/>
              <w:right w:val="none" w:color="FFFFFF" w:sz="0"/>
            </w:tcBorders>
            <w:tcMar>
              <w:top w:type="dxa" w:w="0"/>
              <w:left w:type="dxa" w:w="60"/>
              <w:bottom w:type="dxa" w:w="0"/>
              <w:right w:type="dxa" w:w="60"/>
            </w:tcMar>
          </w:tcPr>
          <w:p>
            <w:pPr>
              <w:bidi/>
              <w:spacing w:after="0" w:before="0" w:line="276" w:lineRule="auto"/>
              <w:jc w:val="both"/>
            </w:pPr>
            <w:r>
              <w:rPr>
                <w:rFonts w:ascii="David" w:cs="David" w:eastAsia="David" w:hAnsi="David"/>
                <w:b w:val="false"/>
                <w:bCs w:val="false"/>
                <w:sz w:val="24"/>
                <w:szCs w:val="24"/>
                <w:rtl/>
              </w:rPr>
              <w:t xml:space="preserve"/>
            </w:r>
          </w:p>
        </w:tc>
        <w:tc>
          <w:tcPr>
            <w:tcW w:type="dxa" w:w="4536"/>
            <w:tcBorders>
              <w:top w:val="none" w:color="FFFFFF" w:sz="0"/>
              <w:left w:val="none" w:color="FFFFFF" w:sz="0"/>
              <w:bottom w:val="none" w:color="FFFFFF" w:sz="0"/>
              <w:right w:val="none" w:color="FFFFFF" w:sz="0"/>
            </w:tcBorders>
            <w:tcMar>
              <w:top w:type="dxa" w:w="0"/>
              <w:left w:type="dxa" w:w="60"/>
              <w:bottom w:type="dxa" w:w="0"/>
              <w:right w:type="dxa" w:w="60"/>
            </w:tcMar>
          </w:tcPr>
          <w:p>
            <w:pPr>
              <w:bidi/>
              <w:spacing w:after="0" w:before="0" w:line="276" w:lineRule="auto"/>
              <w:jc w:val="center"/>
            </w:pPr>
            <w:r>
              <w:rPr>
                <w:rFonts w:ascii="David" w:cs="David" w:eastAsia="David" w:hAnsi="David"/>
                <w:b w:val="false"/>
                <w:bCs w:val="false"/>
                <w:sz w:val="24"/>
                <w:szCs w:val="24"/>
                <w:rtl/>
              </w:rPr>
              <w:t xml:space="preserve">_____________________</w:t>
            </w:r>
          </w:p>
          <w:p>
            <w:pPr>
              <w:bidi/>
              <w:spacing w:after="0" w:before="0" w:line="276" w:lineRule="auto"/>
              <w:jc w:val="center"/>
            </w:pPr>
            <w:r>
              <w:rPr>
                <w:rFonts w:ascii="David" w:cs="David" w:eastAsia="David" w:hAnsi="David"/>
                <w:b/>
                <w:bCs/>
                <w:sz w:val="24"/>
                <w:szCs w:val="24"/>
                <w:rtl/>
              </w:rPr>
              <w:t xml:space="preserve">סולומון טקה, עו"ד</w:t>
            </w:r>
          </w:p>
          <w:p>
            <w:pPr>
              <w:bidi/>
              <w:spacing w:after="0" w:before="0" w:line="276" w:lineRule="auto"/>
              <w:jc w:val="center"/>
            </w:pPr>
            <w:r>
              <w:rPr>
                <w:rFonts w:ascii="David" w:cs="David" w:eastAsia="David" w:hAnsi="David"/>
                <w:b w:val="false"/>
                <w:bCs w:val="false"/>
                <w:sz w:val="24"/>
                <w:szCs w:val="24"/>
                <w:rtl/>
              </w:rPr>
              <w:t xml:space="preserve">ב"כ התובעת</w:t>
            </w:r>
          </w:p>
        </w:tc>
      </w:tr>
    </w:tbl>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tab"/>
      <w:lvlText w:val="%1."/>
      <w:lvlJc w:val="start"/>
      <w:pPr>
        <w:ind w:left="567" w:hanging="567"/>
      </w:pPr>
      <w:rPr>
        <w:rFonts w:ascii="David" w:cs="David" w:eastAsia="David" w:hAnsi="David"/>
        <w:sz w:val="24"/>
        <w:szCs w:val="24"/>
        <w:rt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הודעה מטעם התובעת - תיק 1298590/5</dc:title>
  <dc:creator>עו"ד סולומון טקה</dc:creator>
  <cp:lastModifiedBy>Un-named</cp:lastModifiedBy>
  <cp:revision>1</cp:revision>
  <dcterms:created xsi:type="dcterms:W3CDTF">2026-09-07T11:39:33.907Z</dcterms:created>
  <dcterms:modified xsi:type="dcterms:W3CDTF">2026-09-07T11:39:33.907Z</dcterms:modified>
</cp:coreProperties>
</file>

<file path=docProps/custom.xml><?xml version="1.0" encoding="utf-8"?>
<Properties xmlns="http://schemas.openxmlformats.org/officeDocument/2006/custom-properties" xmlns:vt="http://schemas.openxmlformats.org/officeDocument/2006/docPropsVTypes"/>
</file>