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5216"/>
        <w:gridCol w:w="3856"/>
      </w:tblGrid>
      <w:tr>
        <w:tc>
          <w:tcPr>
            <w:tcW w:type="dxa" w:w="5216"/>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0" w:line="360" w:lineRule="auto"/>
              <w:jc w:val="start"/>
            </w:pPr>
            <w:r>
              <w:rPr>
                <w:rFonts w:ascii="David" w:cs="David" w:eastAsia="David" w:hAnsi="David"/>
                <w:b/>
                <w:bCs/>
                <w:sz w:val="26"/>
                <w:szCs w:val="26"/>
                <w:rtl/>
              </w:rPr>
              <w:t xml:space="preserve">בבית הדין הרבני האזורי ב__________</w:t>
            </w:r>
          </w:p>
        </w:tc>
        <w:tc>
          <w:tcPr>
            <w:tcW w:type="dxa" w:w="3856"/>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0" w:line="360" w:lineRule="auto"/>
              <w:jc w:val="end"/>
            </w:pPr>
            <w:r>
              <w:rPr>
                <w:rFonts w:ascii="David" w:cs="David" w:eastAsia="David" w:hAnsi="David"/>
                <w:b/>
                <w:bCs/>
                <w:sz w:val="26"/>
                <w:szCs w:val="26"/>
                <w:rtl/>
              </w:rPr>
              <w:t xml:space="preserve">תיק מס': </w:t>
            </w:r>
            <w:r>
              <w:rPr>
                <w:rFonts w:ascii="David" w:cs="David" w:eastAsia="David" w:hAnsi="David"/>
                <w:b w:val="false"/>
                <w:bCs w:val="false"/>
                <w:sz w:val="24"/>
                <w:szCs w:val="24"/>
                <w:rtl/>
              </w:rPr>
              <w:t xml:space="preserve">__________</w:t>
            </w:r>
          </w:p>
        </w:tc>
      </w:tr>
    </w:tbl>
    <w:p>
      <w:pPr>
        <w:pBdr>
          <w:bottom w:val="single" w:color="000000" w:sz="6" w:space="1"/>
        </w:pBdr>
        <w:bidi/>
        <w:spacing w:after="120" w:before="60"/>
      </w:pPr>
      <w:r>
        <w:rPr>
          <w:rFonts w:ascii="David" w:cs="David" w:eastAsia="David" w:hAnsi="David"/>
          <w:b w:val="false"/>
          <w:bCs w:val="false"/>
          <w:sz w:val="24"/>
          <w:szCs w:val="24"/>
          <w:rtl/>
        </w:rPr>
        <w:t xml:space="preserve"/>
      </w:r>
    </w:p>
    <w:p>
      <w:pPr>
        <w:bidi/>
        <w:spacing w:after="0" w:before="0" w:line="360" w:lineRule="auto"/>
        <w:jc w:val="start"/>
      </w:pPr>
      <w:r>
        <w:rPr>
          <w:rFonts w:ascii="David" w:cs="David" w:eastAsia="David" w:hAnsi="David"/>
          <w:b/>
          <w:bCs/>
          <w:sz w:val="24"/>
          <w:szCs w:val="24"/>
          <w:rtl/>
        </w:rPr>
        <w:t xml:space="preserve">בעניין:</w:t>
      </w:r>
    </w:p>
    <w:p>
      <w:pPr>
        <w:bidi/>
        <w:spacing w:after="0" w:line="360" w:lineRule="auto"/>
      </w:pPr>
      <w:r>
        <w:rPr>
          <w:rFonts w:ascii="David" w:cs="David" w:eastAsia="David" w:hAnsi="David"/>
          <w:b w:val="false"/>
          <w:bCs w:val="false"/>
          <w:sz w:val="24"/>
          <w:szCs w:val="24"/>
          <w:rtl/>
        </w:rPr>
        <w:t xml:space="preserve"/>
      </w:r>
    </w:p>
    <w:p>
      <w:pPr>
        <w:bidi/>
        <w:spacing w:after="0" w:before="0" w:line="360" w:lineRule="auto"/>
        <w:jc w:val="start"/>
      </w:pPr>
      <w:r>
        <w:rPr>
          <w:rFonts w:ascii="David" w:cs="David" w:eastAsia="David" w:hAnsi="David"/>
          <w:b/>
          <w:bCs/>
          <w:sz w:val="24"/>
          <w:szCs w:val="24"/>
          <w:rtl/>
        </w:rPr>
        <w:t xml:space="preserve">המבקש:</w:t>
      </w:r>
      <w:r>
        <w:rPr>
          <w:rFonts w:ascii="David" w:cs="David" w:eastAsia="David" w:hAnsi="David"/>
          <w:b w:val="false"/>
          <w:bCs w:val="false"/>
          <w:sz w:val="24"/>
          <w:szCs w:val="24"/>
          <w:rtl/>
        </w:rPr>
        <w:t xml:space="preserve">		______________ (שם הבעל), ת.ז. ______________</w:t>
      </w:r>
    </w:p>
    <w:p>
      <w:pPr>
        <w:bidi/>
        <w:spacing w:after="0" w:before="0" w:line="360" w:lineRule="auto"/>
        <w:jc w:val="start"/>
      </w:pPr>
      <w:r>
        <w:rPr>
          <w:rFonts w:ascii="David" w:cs="David" w:eastAsia="David" w:hAnsi="David"/>
          <w:b w:val="false"/>
          <w:bCs w:val="false"/>
          <w:sz w:val="24"/>
          <w:szCs w:val="24"/>
          <w:rtl/>
        </w:rPr>
        <w:t xml:space="preserve">			ע"י ב"כ עוה"ד ______________, מ.ר. ______________</w:t>
      </w:r>
    </w:p>
    <w:p>
      <w:pPr>
        <w:bidi/>
        <w:spacing w:after="0" w:before="0" w:line="360" w:lineRule="auto"/>
        <w:jc w:val="start"/>
      </w:pPr>
      <w:r>
        <w:rPr>
          <w:rFonts w:ascii="David" w:cs="David" w:eastAsia="David" w:hAnsi="David"/>
          <w:b w:val="false"/>
          <w:bCs w:val="false"/>
          <w:sz w:val="24"/>
          <w:szCs w:val="24"/>
          <w:rtl/>
        </w:rPr>
        <w:t xml:space="preserve">			מרחוב ______________ (כתובת המשרד)</w:t>
      </w:r>
    </w:p>
    <w:p>
      <w:pPr>
        <w:bidi/>
        <w:spacing w:after="0" w:before="0" w:line="360" w:lineRule="auto"/>
        <w:jc w:val="start"/>
      </w:pPr>
      <w:r>
        <w:rPr>
          <w:rFonts w:ascii="David" w:cs="David" w:eastAsia="David" w:hAnsi="David"/>
          <w:b w:val="false"/>
          <w:bCs w:val="false"/>
          <w:sz w:val="24"/>
          <w:szCs w:val="24"/>
          <w:rtl/>
        </w:rPr>
        <w:t xml:space="preserve">			טל' ______________ ; דוא"ל ______________</w:t>
      </w:r>
    </w:p>
    <w:p>
      <w:pPr>
        <w:bidi/>
        <w:spacing w:after="120" w:before="0" w:line="360" w:lineRule="auto"/>
        <w:jc w:val="start"/>
      </w:pPr>
      <w:r>
        <w:rPr>
          <w:rFonts w:ascii="David" w:cs="David" w:eastAsia="David" w:hAnsi="David"/>
          <w:b w:val="false"/>
          <w:bCs w:val="false"/>
          <w:sz w:val="24"/>
          <w:szCs w:val="24"/>
          <w:rtl/>
        </w:rPr>
        <w:t xml:space="preserve">			(להלן: "המבקש" / "הבעל")</w:t>
      </w:r>
    </w:p>
    <w:p>
      <w:pPr>
        <w:bidi/>
        <w:spacing w:after="60" w:before="60" w:line="360" w:lineRule="auto"/>
        <w:jc w:val="center"/>
      </w:pPr>
      <w:r>
        <w:rPr>
          <w:rFonts w:ascii="David" w:cs="David" w:eastAsia="David" w:hAnsi="David"/>
          <w:b/>
          <w:bCs/>
          <w:sz w:val="24"/>
          <w:szCs w:val="24"/>
          <w:rtl/>
        </w:rPr>
        <w:t xml:space="preserve">- נ ג ד -</w:t>
      </w:r>
    </w:p>
    <w:p>
      <w:pPr>
        <w:bidi/>
        <w:spacing w:after="0" w:before="0" w:line="360" w:lineRule="auto"/>
        <w:jc w:val="start"/>
      </w:pPr>
      <w:r>
        <w:rPr>
          <w:rFonts w:ascii="David" w:cs="David" w:eastAsia="David" w:hAnsi="David"/>
          <w:b/>
          <w:bCs/>
          <w:sz w:val="24"/>
          <w:szCs w:val="24"/>
          <w:rtl/>
        </w:rPr>
        <w:t xml:space="preserve">המשיבה:</w:t>
      </w:r>
      <w:r>
        <w:rPr>
          <w:rFonts w:ascii="David" w:cs="David" w:eastAsia="David" w:hAnsi="David"/>
          <w:b w:val="false"/>
          <w:bCs w:val="false"/>
          <w:sz w:val="24"/>
          <w:szCs w:val="24"/>
          <w:rtl/>
        </w:rPr>
        <w:t xml:space="preserve">		______________ (שם האישה), ת.ז. ______________</w:t>
      </w:r>
    </w:p>
    <w:p>
      <w:pPr>
        <w:bidi/>
        <w:spacing w:after="0" w:before="0" w:line="360" w:lineRule="auto"/>
        <w:jc w:val="start"/>
      </w:pPr>
      <w:r>
        <w:rPr>
          <w:rFonts w:ascii="David" w:cs="David" w:eastAsia="David" w:hAnsi="David"/>
          <w:b w:val="false"/>
          <w:bCs w:val="false"/>
          <w:sz w:val="24"/>
          <w:szCs w:val="24"/>
          <w:rtl/>
        </w:rPr>
        <w:t xml:space="preserve">			ע"י ב"כ עוה"ד ______________, מ.ר. ______________</w:t>
      </w:r>
    </w:p>
    <w:p>
      <w:pPr>
        <w:bidi/>
        <w:spacing w:after="0" w:before="0" w:line="360" w:lineRule="auto"/>
        <w:jc w:val="start"/>
      </w:pPr>
      <w:r>
        <w:rPr>
          <w:rFonts w:ascii="David" w:cs="David" w:eastAsia="David" w:hAnsi="David"/>
          <w:b w:val="false"/>
          <w:bCs w:val="false"/>
          <w:sz w:val="24"/>
          <w:szCs w:val="24"/>
          <w:rtl/>
        </w:rPr>
        <w:t xml:space="preserve">			מרחוב ______________ (כתובת המשרד)</w:t>
      </w:r>
    </w:p>
    <w:p>
      <w:pPr>
        <w:bidi/>
        <w:spacing w:after="0" w:before="0" w:line="360" w:lineRule="auto"/>
        <w:jc w:val="start"/>
      </w:pPr>
      <w:r>
        <w:rPr>
          <w:rFonts w:ascii="David" w:cs="David" w:eastAsia="David" w:hAnsi="David"/>
          <w:b w:val="false"/>
          <w:bCs w:val="false"/>
          <w:sz w:val="24"/>
          <w:szCs w:val="24"/>
          <w:rtl/>
        </w:rPr>
        <w:t xml:space="preserve">			טל' ______________ ; דוא"ל ______________</w:t>
      </w:r>
    </w:p>
    <w:p>
      <w:pPr>
        <w:bidi/>
        <w:spacing w:after="120" w:before="0" w:line="360" w:lineRule="auto"/>
        <w:jc w:val="start"/>
      </w:pPr>
      <w:r>
        <w:rPr>
          <w:rFonts w:ascii="David" w:cs="David" w:eastAsia="David" w:hAnsi="David"/>
          <w:b w:val="false"/>
          <w:bCs w:val="false"/>
          <w:sz w:val="24"/>
          <w:szCs w:val="24"/>
          <w:rtl/>
        </w:rPr>
        <w:t xml:space="preserve">			(להלן: "המשיבה" / "האישה")</w:t>
      </w:r>
    </w:p>
    <w:p>
      <w:pPr>
        <w:pBdr>
          <w:bottom w:val="single" w:color="000000" w:sz="6" w:space="1"/>
        </w:pBdr>
        <w:bidi/>
        <w:spacing w:after="120" w:before="60"/>
      </w:pPr>
      <w:r>
        <w:rPr>
          <w:rFonts w:ascii="David" w:cs="David" w:eastAsia="David" w:hAnsi="David"/>
          <w:b w:val="false"/>
          <w:bCs w:val="false"/>
          <w:sz w:val="24"/>
          <w:szCs w:val="24"/>
          <w:rtl/>
        </w:rPr>
        <w:t xml:space="preserve"/>
      </w:r>
    </w:p>
    <w:p>
      <w:pPr>
        <w:bidi/>
        <w:spacing w:after="240" w:before="240" w:line="360" w:lineRule="auto"/>
        <w:jc w:val="center"/>
      </w:pPr>
      <w:r>
        <w:rPr>
          <w:rFonts w:ascii="David" w:cs="David" w:eastAsia="David" w:hAnsi="David"/>
          <w:b/>
          <w:bCs/>
          <w:sz w:val="28"/>
          <w:szCs w:val="28"/>
          <w:u w:val="single"/>
          <w:rtl/>
        </w:rPr>
        <w:t xml:space="preserve">תגובה מטעם המשיבה לבקשת המבקש לעיון בחומרי חקירה</w:t>
      </w:r>
    </w:p>
    <w:p>
      <w:pPr>
        <w:bidi/>
        <w:spacing w:after="120" w:line="360" w:lineRule="auto"/>
        <w:jc w:val="both"/>
      </w:pPr>
      <w:r>
        <w:rPr>
          <w:rFonts w:ascii="David" w:cs="David" w:eastAsia="David" w:hAnsi="David"/>
          <w:b w:val="false"/>
          <w:bCs w:val="false"/>
          <w:sz w:val="24"/>
          <w:szCs w:val="24"/>
          <w:rtl/>
        </w:rPr>
        <w:t xml:space="preserve">בית הדין הנכבד מתבקש בזאת לדחות את בקשת המבקש לחשיפה ועיון מיידי בחומרי החקירה והראיות שבידי המשיבה, ולחילופין להורות על דחיית מועד העיון בהם עד לאחר שתישמע עדותו של המבקש / יוגש תצהיר עדות ראשית מטעמו, והכל מהנימוקים שיפורטו להלן:</w:t>
      </w:r>
    </w:p>
    <w:p>
      <w:pPr>
        <w:bidi/>
        <w:spacing w:after="120" w:before="240" w:line="360" w:lineRule="auto"/>
        <w:jc w:val="start"/>
      </w:pPr>
      <w:r>
        <w:rPr>
          <w:rFonts w:ascii="David" w:cs="David" w:eastAsia="David" w:hAnsi="David"/>
          <w:b/>
          <w:bCs/>
          <w:sz w:val="24"/>
          <w:szCs w:val="24"/>
          <w:u w:val="single"/>
          <w:rtl/>
        </w:rPr>
        <w:t xml:space="preserve">א. תמצית ההתנגדות – מניעת התאמת גרסאות וחתירה לחקר האמת</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בקשת המבקש הינה ניסיון שקוף ופסול "לדוג" את הראיות שברשות המשיבה טרם מסירת גרסתו העובדתית המפורטת, וזאת במטרה מובהקת להתאים את גרסתו לממצאים הקיימים ולטשטש את האמת העובדתית.</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תכלית הדיון בבית הדין הנכבד היא ירידה לחקר האמת ועשיית דין צדק. חשיפת חומרי חקירה, תצפיות או הקלטות בשלב כה מוקדם של ההליך תסכל כליל את היכולת להגיע לחקר האמת ותעניק למבקש יתרון דיוני בלתי הוגן.</w:t>
      </w:r>
    </w:p>
    <w:p>
      <w:pPr>
        <w:bidi/>
        <w:spacing w:after="120" w:before="240" w:line="360" w:lineRule="auto"/>
        <w:jc w:val="start"/>
      </w:pPr>
      <w:r>
        <w:rPr>
          <w:rFonts w:ascii="David" w:cs="David" w:eastAsia="David" w:hAnsi="David"/>
          <w:b/>
          <w:bCs/>
          <w:sz w:val="24"/>
          <w:szCs w:val="24"/>
          <w:u w:val="single"/>
          <w:rtl/>
        </w:rPr>
        <w:t xml:space="preserve">ב. הבסיס המשפטי וההלכתי לדחיית העיון</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מושכלות יסוד הן כי הזכות לעיון וגילוי מסמכים אינה מוחלטת, והיא נסוגה כאשר קיים חשש ממשי לפגיעה בעשיית הצדק או לשיבוש האמת.</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בהתאם להלכה הפסוקה הנוהגת (הלכת רע"א 4249/98 סוויסה נ' הכשרת הישוב, המיושמת כסדר בדיוני המשפחה ובתי הדין), לערכאה השיפוטית שיקול דעת מלא להורות על דחיית מועד העיון בראיות ובחומרי חקירה לשלב שלאחר מתן עדותו או תצהירו של בעל הדין שכנגד, מקום בו הגילוי המוקדם יאפשר התאמת עדויות או יפגע באפקטיביות החקירה.</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גם לפי דין תורה, על בית הדין להישמר מפני טענות כוזבות ("מדבר שקר תרחק"), וסמכותו להשתמש בכלים דיוניים המבטיחים כי הצדדים ימסרו גרסת אמת נטולת מניפולציות.</w:t>
      </w:r>
    </w:p>
    <w:p>
      <w:pPr>
        <w:bidi/>
        <w:spacing w:after="120" w:before="240" w:line="360" w:lineRule="auto"/>
        <w:jc w:val="start"/>
      </w:pPr>
      <w:r>
        <w:rPr>
          <w:rFonts w:ascii="David" w:cs="David" w:eastAsia="David" w:hAnsi="David"/>
          <w:b/>
          <w:bCs/>
          <w:sz w:val="24"/>
          <w:szCs w:val="24"/>
          <w:u w:val="single"/>
          <w:rtl/>
        </w:rPr>
        <w:t xml:space="preserve">ג. מן הכלל אל הפרט</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המשיבה אינה מבקשת למנוע כליל מבית הדין או מן המבקש להיחשף לראיות בבוא העת, אלא עומדת על כך שחשיפתן תיעשה בעיתוי הראוי – לאחר שהמבקש יקבע את גרסתו העובדתית בפני בית הדין באופן ברור ובלתי ניתן לשינוי.</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היעתרות לבקשת המבקש בשלב זה תפגע באופן אנוש בזכותה של המשיבה לנהל הליך הוכחות יעיל ולהציג בפני בית הדין תמונת מצב אמינה ונקייה מעיוותים.</w:t>
      </w:r>
    </w:p>
    <w:p>
      <w:pPr>
        <w:bidi/>
        <w:spacing w:after="120" w:before="240" w:line="360" w:lineRule="auto"/>
        <w:jc w:val="start"/>
      </w:pPr>
      <w:r>
        <w:rPr>
          <w:rFonts w:ascii="David" w:cs="David" w:eastAsia="David" w:hAnsi="David"/>
          <w:b/>
          <w:bCs/>
          <w:sz w:val="24"/>
          <w:szCs w:val="24"/>
          <w:u w:val="single"/>
          <w:rtl/>
        </w:rPr>
        <w:t xml:space="preserve">ד. סיכום וסעדים מבוקשים</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אשר על כן, מתבקש בית הדין הנכבד:</w:t>
      </w:r>
    </w:p>
    <w:p>
      <w:pPr>
        <w:pStyle w:val="ListParagraph"/>
        <w:numPr>
          <w:ilvl w:val="0"/>
          <w:numId w:val="3"/>
        </w:numPr>
        <w:bidi/>
        <w:spacing w:after="120" w:line="360" w:lineRule="auto"/>
        <w:jc w:val="both"/>
      </w:pPr>
      <w:r>
        <w:rPr>
          <w:rFonts w:ascii="David" w:cs="David" w:eastAsia="David" w:hAnsi="David"/>
          <w:b w:val="false"/>
          <w:bCs w:val="false"/>
          <w:sz w:val="24"/>
          <w:szCs w:val="24"/>
          <w:rtl/>
        </w:rPr>
        <w:t xml:space="preserve">לדחות את בקשת המבקש לעיון מיידי בחומרי החקירה.</w:t>
      </w:r>
    </w:p>
    <w:p>
      <w:pPr>
        <w:pStyle w:val="ListParagraph"/>
        <w:numPr>
          <w:ilvl w:val="0"/>
          <w:numId w:val="3"/>
        </w:numPr>
        <w:bidi/>
        <w:spacing w:after="120" w:line="360" w:lineRule="auto"/>
        <w:jc w:val="both"/>
      </w:pPr>
      <w:r>
        <w:rPr>
          <w:rFonts w:ascii="David" w:cs="David" w:eastAsia="David" w:hAnsi="David"/>
          <w:b w:val="false"/>
          <w:bCs w:val="false"/>
          <w:sz w:val="24"/>
          <w:szCs w:val="24"/>
          <w:rtl/>
        </w:rPr>
        <w:t xml:space="preserve">לקבוע כי מועד העיון בחומרי החקירה והגשתם יידחה לשלב שלאחר חקירת המבקש או לאחר הגשת גרסתו המלאה בתצהיר.</w:t>
      </w:r>
    </w:p>
    <w:p>
      <w:pPr>
        <w:pStyle w:val="ListParagraph"/>
        <w:numPr>
          <w:ilvl w:val="0"/>
          <w:numId w:val="3"/>
        </w:numPr>
        <w:bidi/>
        <w:spacing w:after="120" w:line="360" w:lineRule="auto"/>
        <w:jc w:val="both"/>
      </w:pPr>
      <w:r>
        <w:rPr>
          <w:rFonts w:ascii="David" w:cs="David" w:eastAsia="David" w:hAnsi="David"/>
          <w:b w:val="false"/>
          <w:bCs w:val="false"/>
          <w:sz w:val="24"/>
          <w:szCs w:val="24"/>
          <w:rtl/>
        </w:rPr>
        <w:t xml:space="preserve">לחייב את המבקש בהוצאות בקשה זו ובשכ"ט עו"ד.</w:t>
      </w:r>
    </w:p>
    <w:p>
      <w:pPr>
        <w:bidi/>
        <w:spacing w:after="0" w:line="360" w:lineRule="auto"/>
      </w:pPr>
      <w:r>
        <w:rPr>
          <w:rFonts w:ascii="David" w:cs="David" w:eastAsia="David" w:hAnsi="David"/>
          <w:b w:val="false"/>
          <w:bCs w:val="false"/>
          <w:sz w:val="24"/>
          <w:szCs w:val="24"/>
          <w:rtl/>
        </w:rPr>
        <w:t xml:space="preserve"/>
      </w:r>
    </w:p>
    <w:p>
      <w:pPr>
        <w:bidi/>
        <w:spacing w:after="0" w:before="0" w:line="360" w:lineRule="auto"/>
        <w:jc w:val="start"/>
      </w:pPr>
      <w:r>
        <w:rPr>
          <w:rFonts w:ascii="David" w:cs="David" w:eastAsia="David" w:hAnsi="David"/>
          <w:b w:val="false"/>
          <w:bCs w:val="false"/>
          <w:sz w:val="24"/>
          <w:szCs w:val="24"/>
          <w:rtl/>
        </w:rPr>
        <w:t xml:space="preserve">תאריך: ______________</w:t>
      </w:r>
    </w:p>
    <w:p>
      <w:pPr>
        <w:bidi/>
        <w:spacing w:after="0" w:line="360" w:lineRule="auto"/>
      </w:pPr>
      <w:r>
        <w:rPr>
          <w:rFonts w:ascii="David" w:cs="David" w:eastAsia="David" w:hAnsi="David"/>
          <w:b w:val="false"/>
          <w:bCs w:val="false"/>
          <w:sz w:val="24"/>
          <w:szCs w:val="24"/>
          <w:rtl/>
        </w:rPr>
        <w:t xml:space="preserve"/>
      </w:r>
    </w:p>
    <w:p>
      <w:pPr>
        <w:bidi/>
        <w:spacing w:after="0" w:before="0" w:line="360" w:lineRule="auto"/>
        <w:jc w:val="center"/>
      </w:pPr>
      <w:r>
        <w:rPr>
          <w:rFonts w:ascii="David" w:cs="David" w:eastAsia="David" w:hAnsi="David"/>
          <w:b w:val="false"/>
          <w:bCs w:val="false"/>
          <w:sz w:val="24"/>
          <w:szCs w:val="24"/>
          <w:rtl/>
        </w:rPr>
        <w:t xml:space="preserve">_______________________</w:t>
      </w:r>
    </w:p>
    <w:p>
      <w:pPr>
        <w:bidi/>
        <w:spacing w:after="0" w:before="0" w:line="360" w:lineRule="auto"/>
        <w:jc w:val="center"/>
      </w:pPr>
      <w:r>
        <w:rPr>
          <w:rFonts w:ascii="David" w:cs="David" w:eastAsia="David" w:hAnsi="David"/>
          <w:b w:val="false"/>
          <w:bCs w:val="false"/>
          <w:sz w:val="24"/>
          <w:szCs w:val="24"/>
          <w:rtl/>
        </w:rPr>
        <w:t xml:space="preserve">______________, עו"ד</w:t>
      </w:r>
    </w:p>
    <w:p>
      <w:pPr>
        <w:bidi/>
        <w:spacing w:after="0" w:before="0" w:line="360" w:lineRule="auto"/>
        <w:jc w:val="center"/>
      </w:pPr>
      <w:r>
        <w:rPr>
          <w:rFonts w:ascii="David" w:cs="David" w:eastAsia="David" w:hAnsi="David"/>
          <w:b/>
          <w:bCs/>
          <w:sz w:val="24"/>
          <w:szCs w:val="24"/>
          <w:rtl/>
        </w:rPr>
        <w:t xml:space="preserve">ב"כ המשיבה</w:t>
      </w:r>
    </w:p>
    <w:sectPr>
      <w:footerReference w:type="default" r:id="rId7"/>
      <w:pgSz w:w="11906" w:h="16838" w:orient="portrait"/>
      <w:pgMar w:top="1417" w:right="1417" w:bottom="1417" w:left="1417" w:header="708" w:footer="708"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b w:val="false"/>
        <w:bCs w:val="false"/>
        <w:sz w:val="18"/>
        <w:szCs w:val="18"/>
        <w:rtl/>
      </w:rPr>
      <w:t xml:space="preserve">- </w:t>
    </w:r>
    <w:r>
      <w:rPr>
        <w:rFonts w:ascii="David" w:cs="David" w:eastAsia="David" w:hAnsi="David"/>
        <w:sz w:val="18"/>
        <w:szCs w:val="18"/>
        <w:rtl/>
      </w:rPr>
      <w:fldChar w:fldCharType="begin"/>
      <w:instrText xml:space="preserve">PAGE</w:instrText>
      <w:fldChar w:fldCharType="separate"/>
      <w:fldChar w:fldCharType="end"/>
    </w:r>
    <w:r>
      <w:rPr>
        <w:rFonts w:ascii="David" w:cs="David" w:eastAsia="David" w:hAnsi="David"/>
        <w:b w:val="false"/>
        <w:bCs w:val="false"/>
        <w:sz w:val="18"/>
        <w:szCs w:val="18"/>
        <w:rtl/>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start"/>
      <w:pPr>
        <w:ind w:left="470" w:hanging="360"/>
      </w:pPr>
    </w:lvl>
  </w:abstractNum>
  <w:abstractNum w:abstractNumId="3" w15:restartNumberingAfterBreak="0">
    <w:multiLevelType w:val="hybridMultilevel"/>
    <w:lvl w:ilvl="0" w15:tentative="1">
      <w:start w:val="1"/>
      <w:numFmt w:val="hebrew1"/>
      <w:suff w:val="tab"/>
      <w:lvlText w:val="%1."/>
      <w:lvlJc w:val="start"/>
      <w:pPr>
        <w:ind w:left="1077"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תגובה מטעם המשיבה לבקשת המבקש לעיון בחומרי חקירה</dc:title>
  <dc:creator>Legal DOCX</dc:creator>
  <cp:lastModifiedBy>Un-named</cp:lastModifiedBy>
  <cp:revision>1</cp:revision>
  <dcterms:created xsi:type="dcterms:W3CDTF">2026-08-23T00:00:00.000Z</dcterms:created>
  <dcterms:modified xsi:type="dcterms:W3CDTF">2026-08-23T00:00:00.000Z</dcterms:modified>
</cp:coreProperties>
</file>

<file path=docProps/custom.xml><?xml version="1.0" encoding="utf-8"?>
<Properties xmlns="http://schemas.openxmlformats.org/officeDocument/2006/custom-properties" xmlns:vt="http://schemas.openxmlformats.org/officeDocument/2006/docPropsVTypes"/>
</file>