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 w:line="360" w:lineRule="auto"/>
        <w:jc w:val="center"/>
      </w:pPr>
      <w:r>
        <w:rPr>
          <w:rFonts w:ascii="David" w:cs="David" w:eastAsia="David" w:hAnsi="David"/>
          <w:b/>
          <w:bCs/>
          <w:sz w:val="30"/>
          <w:szCs w:val="30"/>
          <w:u w:val="single"/>
          <w:rtl/>
        </w:rPr>
        <w:t xml:space="preserve">הנחיות מילוי והערות מקצועיות</w:t>
      </w:r>
    </w:p>
    <w:p>
      <w:pPr>
        <w:bidi/>
        <w:spacing w:after="240" w:line="360" w:lineRule="auto"/>
        <w:jc w:val="center"/>
      </w:pPr>
      <w:r>
        <w:rPr>
          <w:rFonts w:ascii="David" w:cs="David" w:eastAsia="David" w:hAnsi="David"/>
          <w:b/>
          <w:bCs/>
          <w:sz w:val="24"/>
          <w:szCs w:val="24"/>
          <w:rtl/>
        </w:rPr>
        <w:t xml:space="preserve">לכתב התביעה לגירושין וכריכת עניינים - בית הדין הרבני</w:t>
      </w:r>
    </w:p>
    <w:p>
      <w:pPr>
        <w:bidi/>
        <w:spacing w:after="120" w:line="360" w:lineRule="auto"/>
        <w:jc w:val="both"/>
      </w:pPr>
      <w:r>
        <w:rPr>
          <w:rFonts w:ascii="David" w:cs="David" w:eastAsia="David" w:hAnsi="David"/>
          <w:sz w:val="24"/>
          <w:szCs w:val="24"/>
          <w:rtl/>
        </w:rPr>
        <w:t xml:space="preserve">מסמך פנימי לבא כוח התובעת. לא להגיש לבית הדין. כל השדות להשלמה בכתב התביעה מסומנים </w:t>
      </w:r>
      <w:r>
        <w:rPr>
          <w:rFonts w:ascii="David" w:cs="David" w:eastAsia="David" w:hAnsi="David"/>
          <w:sz w:val="24"/>
          <w:szCs w:val="24"/>
          <w:highlight w:val="yellow"/>
          <w:highlightCs w:val="yellow"/>
          <w:rtl/>
        </w:rPr>
        <w:t xml:space="preserve">[בסוגריים מרובעים ובהדגשה צהובה]</w:t>
      </w:r>
      <w:r>
        <w:rPr>
          <w:rFonts w:ascii="David" w:cs="David" w:eastAsia="David" w:hAnsi="David"/>
          <w:sz w:val="24"/>
          <w:szCs w:val="24"/>
          <w:rtl/>
        </w:rPr>
        <w:t xml:space="preserve">. לאחר המילוי יש להסיר את ההדגשה.</w:t>
      </w:r>
    </w:p>
    <w:p>
      <w:pPr>
        <w:keepNext/>
        <w:bidi/>
        <w:spacing w:after="120" w:before="240" w:line="360" w:lineRule="auto"/>
        <w:jc w:val="start"/>
      </w:pPr>
      <w:r>
        <w:rPr>
          <w:rFonts w:ascii="David" w:cs="David" w:eastAsia="David" w:hAnsi="David"/>
          <w:b/>
          <w:bCs/>
          <w:sz w:val="24"/>
          <w:szCs w:val="24"/>
          <w:u w:val="single"/>
          <w:rtl/>
        </w:rPr>
        <w:t xml:space="preserve">א. לפני ההגשה: חובת בקשה ליישוב סכסוך</w:t>
      </w:r>
    </w:p>
    <w:p>
      <w:pPr>
        <w:pStyle w:val="ListParagraph"/>
        <w:numPr>
          <w:ilvl w:val="0"/>
          <w:numId w:val="2"/>
        </w:numPr>
        <w:bidi/>
        <w:spacing w:after="120" w:line="360" w:lineRule="auto"/>
        <w:jc w:val="both"/>
      </w:pPr>
      <w:r>
        <w:rPr>
          <w:rFonts w:ascii="David" w:cs="David" w:eastAsia="David" w:hAnsi="David"/>
          <w:sz w:val="24"/>
          <w:szCs w:val="24"/>
          <w:rtl/>
        </w:rPr>
        <w:t xml:space="preserve">לפי חוק להסדר התדיינויות בסכסוכי משפחה, התשע"ה-2014, אין להגיש תביעת גירושין לפני הגשת </w:t>
      </w:r>
      <w:r>
        <w:rPr>
          <w:rFonts w:ascii="David" w:cs="David" w:eastAsia="David" w:hAnsi="David"/>
          <w:b/>
          <w:bCs/>
          <w:sz w:val="24"/>
          <w:szCs w:val="24"/>
          <w:rtl/>
        </w:rPr>
        <w:t xml:space="preserve">בקשה ליישוב סכסוך</w:t>
      </w:r>
      <w:r>
        <w:rPr>
          <w:rFonts w:ascii="David" w:cs="David" w:eastAsia="David" w:hAnsi="David"/>
          <w:sz w:val="24"/>
          <w:szCs w:val="24"/>
          <w:rtl/>
        </w:rPr>
        <w:t xml:space="preserve">, השתתפות בפגישות המהו"ת ביחידת הסיוע, ותום תקופת עיכוב ההליכים. תביעה שתוגש לפני כן צפויה להימחק.</w:t>
      </w:r>
    </w:p>
    <w:p>
      <w:pPr>
        <w:pStyle w:val="ListParagraph"/>
        <w:numPr>
          <w:ilvl w:val="0"/>
          <w:numId w:val="2"/>
        </w:numPr>
        <w:bidi/>
        <w:spacing w:after="120" w:line="360" w:lineRule="auto"/>
        <w:jc w:val="both"/>
      </w:pPr>
      <w:r>
        <w:rPr>
          <w:rFonts w:ascii="David" w:cs="David" w:eastAsia="David" w:hAnsi="David"/>
          <w:b/>
          <w:bCs/>
          <w:sz w:val="24"/>
          <w:szCs w:val="24"/>
          <w:rtl/>
        </w:rPr>
        <w:t xml:space="preserve">בדיקת עלות-תועלת:</w:t>
      </w:r>
      <w:r>
        <w:rPr>
          <w:rFonts w:ascii="David" w:cs="David" w:eastAsia="David" w:hAnsi="David"/>
          <w:sz w:val="24"/>
          <w:szCs w:val="24"/>
          <w:rtl/>
        </w:rPr>
        <w:t xml:space="preserve"> הגשת הבקשה ליישוב סכסוך היא גם הרגע שבו ייקבע מרוץ הסמכויות. ראוי לוודא שהיא מוגשת לפני שהנתבע יקדים ויגיש בקשה משלו.</w:t>
      </w:r>
    </w:p>
    <w:p>
      <w:pPr>
        <w:pStyle w:val="ListParagraph"/>
        <w:numPr>
          <w:ilvl w:val="0"/>
          <w:numId w:val="2"/>
        </w:numPr>
        <w:bidi/>
        <w:spacing w:after="120" w:line="360" w:lineRule="auto"/>
        <w:jc w:val="both"/>
      </w:pPr>
      <w:r>
        <w:rPr>
          <w:rFonts w:ascii="David" w:cs="David" w:eastAsia="David" w:hAnsi="David"/>
          <w:sz w:val="24"/>
          <w:szCs w:val="24"/>
          <w:rtl/>
        </w:rPr>
        <w:t xml:space="preserve">בכתב התביעה (סעיף 42) יש להשלים את מספר תיק הבקשה ולצרף את האישור כנספח 4.</w:t>
      </w:r>
    </w:p>
    <w:p>
      <w:pPr>
        <w:keepNext/>
        <w:bidi/>
        <w:spacing w:after="120" w:before="240" w:line="360" w:lineRule="auto"/>
        <w:jc w:val="start"/>
      </w:pPr>
      <w:r>
        <w:rPr>
          <w:rFonts w:ascii="David" w:cs="David" w:eastAsia="David" w:hAnsi="David"/>
          <w:b/>
          <w:bCs/>
          <w:sz w:val="24"/>
          <w:szCs w:val="24"/>
          <w:u w:val="single"/>
          <w:rtl/>
        </w:rPr>
        <w:t xml:space="preserve">ב. סמכות מקומית</w:t>
      </w:r>
    </w:p>
    <w:p>
      <w:pPr>
        <w:pStyle w:val="ListParagraph"/>
        <w:numPr>
          <w:ilvl w:val="0"/>
          <w:numId w:val="2"/>
        </w:numPr>
        <w:bidi/>
        <w:spacing w:after="120" w:line="360" w:lineRule="auto"/>
        <w:jc w:val="both"/>
      </w:pPr>
      <w:r>
        <w:rPr>
          <w:rFonts w:ascii="David" w:cs="David" w:eastAsia="David" w:hAnsi="David"/>
          <w:sz w:val="24"/>
          <w:szCs w:val="24"/>
          <w:rtl/>
        </w:rPr>
        <w:t xml:space="preserve">יש להגיש לבית הדין האזורי שבתחום מקום מגוריו של הנתבע, או שבתחום מקום המגורים המשותף האחרון של הצדדים. מאחר שהנתבע מתגורר בדירה המשותפת, שני המבחנים מובילים לאותו בית דין: זה שבתחום שיפוטו נמצאת הדירה. </w:t>
      </w:r>
      <w:r>
        <w:rPr>
          <w:rFonts w:ascii="David" w:cs="David" w:eastAsia="David" w:hAnsi="David"/>
          <w:b/>
          <w:bCs/>
          <w:sz w:val="24"/>
          <w:szCs w:val="24"/>
          <w:rtl/>
        </w:rPr>
        <w:t xml:space="preserve">לא בהכרח נתניה</w:t>
      </w:r>
      <w:r>
        <w:rPr>
          <w:rFonts w:ascii="David" w:cs="David" w:eastAsia="David" w:hAnsi="David"/>
          <w:sz w:val="24"/>
          <w:szCs w:val="24"/>
          <w:rtl/>
        </w:rPr>
        <w:t xml:space="preserve">, אלא אם הדירה עצמה בתחום בית הדין בנתניה.</w:t>
      </w:r>
    </w:p>
    <w:p>
      <w:pPr>
        <w:keepNext/>
        <w:bidi/>
        <w:spacing w:after="120" w:before="240" w:line="360" w:lineRule="auto"/>
        <w:jc w:val="start"/>
      </w:pPr>
      <w:r>
        <w:rPr>
          <w:rFonts w:ascii="David" w:cs="David" w:eastAsia="David" w:hAnsi="David"/>
          <w:b/>
          <w:bCs/>
          <w:sz w:val="24"/>
          <w:szCs w:val="24"/>
          <w:u w:val="single"/>
          <w:rtl/>
        </w:rPr>
        <w:t xml:space="preserve">ג. רשימת שדות להשלמה</w:t>
      </w:r>
    </w:p>
    <w:p>
      <w:pPr>
        <w:pStyle w:val="ListParagraph"/>
        <w:numPr>
          <w:ilvl w:val="0"/>
          <w:numId w:val="2"/>
        </w:numPr>
        <w:bidi/>
        <w:spacing w:after="120" w:line="360" w:lineRule="auto"/>
        <w:jc w:val="both"/>
      </w:pPr>
      <w:r>
        <w:rPr>
          <w:rFonts w:ascii="David" w:cs="David" w:eastAsia="David" w:hAnsi="David"/>
          <w:sz w:val="24"/>
          <w:szCs w:val="24"/>
          <w:rtl/>
        </w:rPr>
        <w:t xml:space="preserve">פרטי הצדדים: שמות, ת"ז, כתובות; פרטי ב"כ התובעת.</w:t>
      </w:r>
    </w:p>
    <w:p>
      <w:pPr>
        <w:pStyle w:val="ListParagraph"/>
        <w:numPr>
          <w:ilvl w:val="0"/>
          <w:numId w:val="2"/>
        </w:numPr>
        <w:bidi/>
        <w:spacing w:after="120" w:line="360" w:lineRule="auto"/>
        <w:jc w:val="both"/>
      </w:pPr>
      <w:r>
        <w:rPr>
          <w:rFonts w:ascii="David" w:cs="David" w:eastAsia="David" w:hAnsi="David"/>
          <w:sz w:val="24"/>
          <w:szCs w:val="24"/>
          <w:rtl/>
        </w:rPr>
        <w:t xml:space="preserve">תאריך ומקום הנישואין.</w:t>
      </w:r>
    </w:p>
    <w:p>
      <w:pPr>
        <w:pStyle w:val="ListParagraph"/>
        <w:numPr>
          <w:ilvl w:val="0"/>
          <w:numId w:val="2"/>
        </w:numPr>
        <w:bidi/>
        <w:spacing w:after="120" w:line="360" w:lineRule="auto"/>
        <w:jc w:val="both"/>
      </w:pPr>
      <w:r>
        <w:rPr>
          <w:rFonts w:ascii="David" w:cs="David" w:eastAsia="David" w:hAnsi="David"/>
          <w:sz w:val="24"/>
          <w:szCs w:val="24"/>
          <w:rtl/>
        </w:rPr>
        <w:t xml:space="preserve">שמות ושנות לידה של שבעת הילדים.</w:t>
      </w:r>
    </w:p>
    <w:p>
      <w:pPr>
        <w:pStyle w:val="ListParagraph"/>
        <w:numPr>
          <w:ilvl w:val="0"/>
          <w:numId w:val="2"/>
        </w:numPr>
        <w:bidi/>
        <w:spacing w:after="120" w:line="360" w:lineRule="auto"/>
        <w:jc w:val="both"/>
      </w:pPr>
      <w:r>
        <w:rPr>
          <w:rFonts w:ascii="David" w:cs="David" w:eastAsia="David" w:hAnsi="David"/>
          <w:sz w:val="24"/>
          <w:szCs w:val="24"/>
          <w:rtl/>
        </w:rPr>
        <w:t xml:space="preserve">פרטי הדירה: כתובת, גוש, חלקה, תת חלקה, מספר חדרים; האם קיימת משכנתא ויתרתה (אם אין, למחוק את סעיף 6).</w:t>
      </w:r>
    </w:p>
    <w:p>
      <w:pPr>
        <w:pStyle w:val="ListParagraph"/>
        <w:numPr>
          <w:ilvl w:val="0"/>
          <w:numId w:val="2"/>
        </w:numPr>
        <w:bidi/>
        <w:spacing w:after="120" w:line="360" w:lineRule="auto"/>
        <w:jc w:val="both"/>
      </w:pPr>
      <w:r>
        <w:rPr>
          <w:rFonts w:ascii="David" w:cs="David" w:eastAsia="David" w:hAnsi="David"/>
          <w:b/>
          <w:bCs/>
          <w:sz w:val="24"/>
          <w:szCs w:val="24"/>
          <w:rtl/>
        </w:rPr>
        <w:t xml:space="preserve">פירוט האלימות (סעיף 7):</w:t>
      </w:r>
      <w:r>
        <w:rPr>
          <w:rFonts w:ascii="David" w:cs="David" w:eastAsia="David" w:hAnsi="David"/>
          <w:sz w:val="24"/>
          <w:szCs w:val="24"/>
          <w:rtl/>
        </w:rPr>
        <w:t xml:space="preserve"> זה הסעיף החשוב ביותר בתביעה. הוא מבסס גם את עילת הגירושין וגם את טענת ההדרה, שעליה נשענים דמי השימוש. יש לפרט אירועים קונקרטיים, מועדים משוערים ועדים, ולא להסתפק בטענה כללית.</w:t>
      </w:r>
    </w:p>
    <w:p>
      <w:pPr>
        <w:pStyle w:val="ListParagraph"/>
        <w:numPr>
          <w:ilvl w:val="0"/>
          <w:numId w:val="2"/>
        </w:numPr>
        <w:bidi/>
        <w:spacing w:after="120" w:line="360" w:lineRule="auto"/>
        <w:jc w:val="both"/>
      </w:pPr>
      <w:r>
        <w:rPr>
          <w:rFonts w:ascii="David" w:cs="David" w:eastAsia="David" w:hAnsi="David"/>
          <w:sz w:val="24"/>
          <w:szCs w:val="24"/>
          <w:rtl/>
        </w:rPr>
        <w:t xml:space="preserve">פרטי מחלקת הרווחה והעו"ס; תלונות במשטרה, אם היו.</w:t>
      </w:r>
    </w:p>
    <w:p>
      <w:pPr>
        <w:pStyle w:val="ListParagraph"/>
        <w:numPr>
          <w:ilvl w:val="0"/>
          <w:numId w:val="2"/>
        </w:numPr>
        <w:bidi/>
        <w:spacing w:after="120" w:line="360" w:lineRule="auto"/>
        <w:jc w:val="both"/>
      </w:pPr>
      <w:r>
        <w:rPr>
          <w:rFonts w:ascii="David" w:cs="David" w:eastAsia="David" w:hAnsi="David"/>
          <w:sz w:val="24"/>
          <w:szCs w:val="24"/>
          <w:rtl/>
        </w:rPr>
        <w:t xml:space="preserve">חודש ושנת העזיבה (סעיף 9).</w:t>
      </w:r>
    </w:p>
    <w:p>
      <w:pPr>
        <w:pStyle w:val="ListParagraph"/>
        <w:numPr>
          <w:ilvl w:val="0"/>
          <w:numId w:val="2"/>
        </w:numPr>
        <w:bidi/>
        <w:spacing w:after="120" w:line="360" w:lineRule="auto"/>
        <w:jc w:val="both"/>
      </w:pPr>
      <w:r>
        <w:rPr>
          <w:rFonts w:ascii="David" w:cs="David" w:eastAsia="David" w:hAnsi="David"/>
          <w:sz w:val="24"/>
          <w:szCs w:val="24"/>
          <w:rtl/>
        </w:rPr>
        <w:t xml:space="preserve">פרטי הליך צו ההרחקה מ-2025: באיזה בית משפט, מספר ה"ט, ומה הייתה התוצאה (מחיקה / דחייה). יש להשיג את ההחלטות או הפרוטוקול מנט המשפט.</w:t>
      </w:r>
    </w:p>
    <w:p>
      <w:pPr>
        <w:pStyle w:val="ListParagraph"/>
        <w:numPr>
          <w:ilvl w:val="0"/>
          <w:numId w:val="2"/>
        </w:numPr>
        <w:bidi/>
        <w:spacing w:after="120" w:line="360" w:lineRule="auto"/>
        <w:jc w:val="both"/>
      </w:pPr>
      <w:r>
        <w:rPr>
          <w:rFonts w:ascii="David" w:cs="David" w:eastAsia="David" w:hAnsi="David"/>
          <w:sz w:val="24"/>
          <w:szCs w:val="24"/>
          <w:rtl/>
        </w:rPr>
        <w:t xml:space="preserve">הערכת דמי השכירות לחודש וחישוב הסכום הנתבע (סעיף 35); הערכת שווי הדירה (בראש התביעה).</w:t>
      </w:r>
    </w:p>
    <w:p>
      <w:pPr>
        <w:keepNext/>
        <w:bidi/>
        <w:spacing w:after="120" w:before="240" w:line="360" w:lineRule="auto"/>
        <w:jc w:val="start"/>
      </w:pPr>
      <w:r>
        <w:rPr>
          <w:rFonts w:ascii="David" w:cs="David" w:eastAsia="David" w:hAnsi="David"/>
          <w:b/>
          <w:bCs/>
          <w:sz w:val="24"/>
          <w:szCs w:val="24"/>
          <w:u w:val="single"/>
          <w:rtl/>
        </w:rPr>
        <w:t xml:space="preserve">ד. הערות מקצועיות וסיכונים</w:t>
      </w:r>
    </w:p>
    <w:p>
      <w:pPr>
        <w:pStyle w:val="ListParagraph"/>
        <w:numPr>
          <w:ilvl w:val="0"/>
          <w:numId w:val="2"/>
        </w:numPr>
        <w:bidi/>
        <w:spacing w:after="120" w:line="360" w:lineRule="auto"/>
        <w:jc w:val="both"/>
      </w:pPr>
      <w:r>
        <w:rPr>
          <w:rFonts w:ascii="David" w:cs="David" w:eastAsia="David" w:hAnsi="David"/>
          <w:b/>
          <w:bCs/>
          <w:sz w:val="24"/>
          <w:szCs w:val="24"/>
          <w:rtl/>
        </w:rPr>
        <w:t xml:space="preserve">דמי שימוש רטרואקטיביים - הנקודה החלשה.</w:t>
      </w:r>
      <w:r>
        <w:rPr>
          <w:rFonts w:ascii="David" w:cs="David" w:eastAsia="David" w:hAnsi="David"/>
          <w:sz w:val="24"/>
          <w:szCs w:val="24"/>
          <w:rtl/>
        </w:rPr>
        <w:t xml:space="preserve"> בתי הדין ובתי המשפט נוטים לפסוק דמי שימוש בין בני זוג רק ממועד הדרישה או הגשת התביעה, ולא למפרע, בייחוד כשבן הזוג עזב "מרצונו". לכן כל הסיכוי לקבל דמי שימוש לשבע השנים שחלפו תלוי בהוכחת </w:t>
      </w:r>
      <w:r>
        <w:rPr>
          <w:rFonts w:ascii="David" w:cs="David" w:eastAsia="David" w:hAnsi="David"/>
          <w:b/>
          <w:bCs/>
          <w:sz w:val="24"/>
          <w:szCs w:val="24"/>
          <w:rtl/>
        </w:rPr>
        <w:t xml:space="preserve">עזיבה כפויה</w:t>
      </w:r>
      <w:r>
        <w:rPr>
          <w:rFonts w:ascii="David" w:cs="David" w:eastAsia="David" w:hAnsi="David"/>
          <w:sz w:val="24"/>
          <w:szCs w:val="24"/>
          <w:rtl/>
        </w:rPr>
        <w:t xml:space="preserve"> בשל אלימות. התביעה בנויה כך (סעיפים 10, 33), וכוללת סעד חלופי ממועד ההגשה. מומלץ לאסוף מוקדם ככל האפשר את רישומי הרווחה ועדויות הילדים.</w:t>
      </w:r>
    </w:p>
    <w:p>
      <w:pPr>
        <w:pStyle w:val="ListParagraph"/>
        <w:numPr>
          <w:ilvl w:val="0"/>
          <w:numId w:val="2"/>
        </w:numPr>
        <w:bidi/>
        <w:spacing w:after="120" w:line="360" w:lineRule="auto"/>
        <w:jc w:val="both"/>
      </w:pPr>
      <w:r>
        <w:rPr>
          <w:rFonts w:ascii="David" w:cs="David" w:eastAsia="David" w:hAnsi="David"/>
          <w:b/>
          <w:bCs/>
          <w:sz w:val="24"/>
          <w:szCs w:val="24"/>
          <w:rtl/>
        </w:rPr>
        <w:t xml:space="preserve">הגנה צפויה של הנתבע - קיזוז משכנתא והוצאות.</w:t>
      </w:r>
      <w:r>
        <w:rPr>
          <w:rFonts w:ascii="David" w:cs="David" w:eastAsia="David" w:hAnsi="David"/>
          <w:sz w:val="24"/>
          <w:szCs w:val="24"/>
          <w:rtl/>
        </w:rPr>
        <w:t xml:space="preserve"> אם הנתבע שילם לבדו את המשכנתא לאורך השנים, צפוי שיטען לקיזוז מחצית התשלומים מדמי השימוש. כדאי לברר מראש את היקף התשלומים, כדי להעריך את הסכום נטו.</w:t>
      </w:r>
    </w:p>
    <w:p>
      <w:pPr>
        <w:pStyle w:val="ListParagraph"/>
        <w:numPr>
          <w:ilvl w:val="0"/>
          <w:numId w:val="2"/>
        </w:numPr>
        <w:bidi/>
        <w:spacing w:after="120" w:line="360" w:lineRule="auto"/>
        <w:jc w:val="both"/>
      </w:pPr>
      <w:r>
        <w:rPr>
          <w:rFonts w:ascii="David" w:cs="David" w:eastAsia="David" w:hAnsi="David"/>
          <w:b/>
          <w:bCs/>
          <w:sz w:val="24"/>
          <w:szCs w:val="24"/>
          <w:rtl/>
        </w:rPr>
        <w:t xml:space="preserve">כתובה ואיזון משאבים לא נכרכו (לפי בחירת הלקוחה).</w:t>
      </w:r>
      <w:r>
        <w:rPr>
          <w:rFonts w:ascii="David" w:cs="David" w:eastAsia="David" w:hAnsi="David"/>
          <w:sz w:val="24"/>
          <w:szCs w:val="24"/>
          <w:rtl/>
        </w:rPr>
        <w:t xml:space="preserve"> התביעה שומרת עליהם במפורש (סעיף 22). שימו לב: עניין שלא נכרך כאן פתוח להגשה על ידי הנתבע לבית המשפט לענייני משפחה. אם יש לצדדים נכסים נוספים משמעותיים (פנסיה, חסכונות, רכב), מומלץ לשקול שוב את כריכת איזון המשאבים, כדי שכל הרכוש יוכרע בערכאה אחת שבחרה התובעת. גם תביעת כתובה (לרבות תוספת כתובה) ראויה לבחינה, שכן אלימות הבעל היא עילה טובה לחיובו בכתובה.</w:t>
      </w:r>
    </w:p>
    <w:p>
      <w:pPr>
        <w:pStyle w:val="ListParagraph"/>
        <w:numPr>
          <w:ilvl w:val="0"/>
          <w:numId w:val="2"/>
        </w:numPr>
        <w:bidi/>
        <w:spacing w:after="120" w:line="360" w:lineRule="auto"/>
        <w:jc w:val="both"/>
      </w:pPr>
      <w:r>
        <w:rPr>
          <w:rFonts w:ascii="David" w:cs="David" w:eastAsia="David" w:hAnsi="David"/>
          <w:b/>
          <w:bCs/>
          <w:sz w:val="24"/>
          <w:szCs w:val="24"/>
          <w:rtl/>
        </w:rPr>
        <w:t xml:space="preserve">גט: חיוב ולא כפייה.</w:t>
      </w:r>
      <w:r>
        <w:rPr>
          <w:rFonts w:ascii="David" w:cs="David" w:eastAsia="David" w:hAnsi="David"/>
          <w:sz w:val="24"/>
          <w:szCs w:val="24"/>
          <w:rtl/>
        </w:rPr>
        <w:t xml:space="preserve"> בתי הדין ממעטים לפסוק כפיית גט. התביעה מבקשת חיוב בגט ומציגה את מקור ההלכה לכפייה (רמ"א אבה"ע קנד, ג), כך שאם הנתבע יסרב, יהיה בסיס לבקש סנקציות לפי חוק בתי דין רבניים (קיום פסקי דין של גירושין), התשנ"ה-1995.</w:t>
      </w:r>
    </w:p>
    <w:p>
      <w:pPr>
        <w:pStyle w:val="ListParagraph"/>
        <w:numPr>
          <w:ilvl w:val="0"/>
          <w:numId w:val="2"/>
        </w:numPr>
        <w:bidi/>
        <w:spacing w:after="120" w:line="360" w:lineRule="auto"/>
        <w:jc w:val="both"/>
      </w:pPr>
      <w:r>
        <w:rPr>
          <w:rFonts w:ascii="David" w:cs="David" w:eastAsia="David" w:hAnsi="David"/>
          <w:b/>
          <w:bCs/>
          <w:sz w:val="24"/>
          <w:szCs w:val="24"/>
          <w:rtl/>
        </w:rPr>
        <w:t xml:space="preserve">אסמכתאות.</w:t>
      </w:r>
      <w:r>
        <w:rPr>
          <w:rFonts w:ascii="David" w:cs="David" w:eastAsia="David" w:hAnsi="David"/>
          <w:sz w:val="24"/>
          <w:szCs w:val="24"/>
          <w:rtl/>
        </w:rPr>
        <w:t xml:space="preserve"> הוכנסו רק אסמכתאות מרכזיות שאני בטוח בהן (חוק השיפוט, חוק המקרקעין, סעיף 14 לחוק ההתיישנות, בג"ץ בבלי, הרמ"א והרמב"ם). מומלץ להוסיף פסיקה עדכנית של בתי הדין בעניין דמי שימוש לבן זוג שהודר בשל אלימות, לאחר בדיקה במאגר.</w:t>
      </w:r>
    </w:p>
    <w:p>
      <w:pPr>
        <w:pStyle w:val="ListParagraph"/>
        <w:numPr>
          <w:ilvl w:val="0"/>
          <w:numId w:val="2"/>
        </w:numPr>
        <w:bidi/>
        <w:spacing w:after="120" w:line="360" w:lineRule="auto"/>
        <w:jc w:val="both"/>
      </w:pPr>
      <w:r>
        <w:rPr>
          <w:rFonts w:ascii="David" w:cs="David" w:eastAsia="David" w:hAnsi="David"/>
          <w:b/>
          <w:bCs/>
          <w:sz w:val="24"/>
          <w:szCs w:val="24"/>
          <w:rtl/>
        </w:rPr>
        <w:t xml:space="preserve">מספור סעיפים.</w:t>
      </w:r>
      <w:r>
        <w:rPr>
          <w:rFonts w:ascii="David" w:cs="David" w:eastAsia="David" w:hAnsi="David"/>
          <w:sz w:val="24"/>
          <w:szCs w:val="24"/>
          <w:rtl/>
        </w:rPr>
        <w:t xml:space="preserve"> הסעיפים בכתב התביעה ממוספרים אוטומטית. ההפניות הפנימיות (סעיף 27 בסעד 43.2 ואחרות במסמך זה) נכונות לגרסה הנוכחית. אם יתווספו או יימחקו סעיפים, יש לעדכן אותן.</w:t>
      </w:r>
    </w:p>
    <w:p>
      <w:pPr>
        <w:keepNext/>
        <w:bidi/>
        <w:spacing w:after="120" w:before="240" w:line="360" w:lineRule="auto"/>
        <w:jc w:val="start"/>
      </w:pPr>
      <w:r>
        <w:rPr>
          <w:rFonts w:ascii="David" w:cs="David" w:eastAsia="David" w:hAnsi="David"/>
          <w:b/>
          <w:bCs/>
          <w:sz w:val="24"/>
          <w:szCs w:val="24"/>
          <w:u w:val="single"/>
          <w:rtl/>
        </w:rPr>
        <w:t xml:space="preserve">ה. נספחים להכנה</w:t>
      </w:r>
    </w:p>
    <w:p>
      <w:pPr>
        <w:pStyle w:val="ListParagraph"/>
        <w:numPr>
          <w:ilvl w:val="0"/>
          <w:numId w:val="2"/>
        </w:numPr>
        <w:bidi/>
        <w:spacing w:after="120" w:line="360" w:lineRule="auto"/>
        <w:jc w:val="both"/>
      </w:pPr>
      <w:r>
        <w:rPr>
          <w:rFonts w:ascii="David" w:cs="David" w:eastAsia="David" w:hAnsi="David"/>
          <w:sz w:val="24"/>
          <w:szCs w:val="24"/>
          <w:rtl/>
        </w:rPr>
        <w:t xml:space="preserve">תעודת נישואין וכתובה.</w:t>
      </w:r>
    </w:p>
    <w:p>
      <w:pPr>
        <w:pStyle w:val="ListParagraph"/>
        <w:numPr>
          <w:ilvl w:val="0"/>
          <w:numId w:val="2"/>
        </w:numPr>
        <w:bidi/>
        <w:spacing w:after="120" w:line="360" w:lineRule="auto"/>
        <w:jc w:val="both"/>
      </w:pPr>
      <w:r>
        <w:rPr>
          <w:rFonts w:ascii="David" w:cs="David" w:eastAsia="David" w:hAnsi="David"/>
          <w:sz w:val="24"/>
          <w:szCs w:val="24"/>
          <w:rtl/>
        </w:rPr>
        <w:t xml:space="preserve">נסח טאבו עדכני (או אישור זכויות מחברה משכנת / רמ"י).</w:t>
      </w:r>
    </w:p>
    <w:p>
      <w:pPr>
        <w:pStyle w:val="ListParagraph"/>
        <w:numPr>
          <w:ilvl w:val="0"/>
          <w:numId w:val="2"/>
        </w:numPr>
        <w:bidi/>
        <w:spacing w:after="120" w:line="360" w:lineRule="auto"/>
        <w:jc w:val="both"/>
      </w:pPr>
      <w:r>
        <w:rPr>
          <w:rFonts w:ascii="David" w:cs="David" w:eastAsia="David" w:hAnsi="David"/>
          <w:sz w:val="24"/>
          <w:szCs w:val="24"/>
          <w:rtl/>
        </w:rPr>
        <w:t xml:space="preserve">החלטות / פרוטוקול מהליך צו ההרחקה (2025).</w:t>
      </w:r>
    </w:p>
    <w:p>
      <w:pPr>
        <w:pStyle w:val="ListParagraph"/>
        <w:numPr>
          <w:ilvl w:val="0"/>
          <w:numId w:val="2"/>
        </w:numPr>
        <w:bidi/>
        <w:spacing w:after="120" w:line="360" w:lineRule="auto"/>
        <w:jc w:val="both"/>
      </w:pPr>
      <w:r>
        <w:rPr>
          <w:rFonts w:ascii="David" w:cs="David" w:eastAsia="David" w:hAnsi="David"/>
          <w:sz w:val="24"/>
          <w:szCs w:val="24"/>
          <w:rtl/>
        </w:rPr>
        <w:t xml:space="preserve">אישור הגשת בקשה ליישוב סכסוך.</w:t>
      </w:r>
    </w:p>
    <w:p>
      <w:pPr>
        <w:pStyle w:val="ListParagraph"/>
        <w:numPr>
          <w:ilvl w:val="0"/>
          <w:numId w:val="2"/>
        </w:numPr>
        <w:bidi/>
        <w:spacing w:after="120" w:line="360" w:lineRule="auto"/>
        <w:jc w:val="both"/>
      </w:pPr>
      <w:r>
        <w:rPr>
          <w:rFonts w:ascii="David" w:cs="David" w:eastAsia="David" w:hAnsi="David"/>
          <w:sz w:val="24"/>
          <w:szCs w:val="24"/>
          <w:rtl/>
        </w:rPr>
        <w:t xml:space="preserve">ייפוי כוח חתום.</w:t>
      </w:r>
    </w:p>
    <w:p>
      <w:pPr>
        <w:pStyle w:val="ListParagraph"/>
        <w:numPr>
          <w:ilvl w:val="0"/>
          <w:numId w:val="2"/>
        </w:numPr>
        <w:bidi/>
        <w:spacing w:after="120" w:line="360" w:lineRule="auto"/>
        <w:jc w:val="both"/>
      </w:pPr>
      <w:r>
        <w:rPr>
          <w:rFonts w:ascii="David" w:cs="David" w:eastAsia="David" w:hAnsi="David"/>
          <w:sz w:val="24"/>
          <w:szCs w:val="24"/>
          <w:rtl/>
        </w:rPr>
        <w:t xml:space="preserve">רצוי: ויתור סודיות חתום על ידי התובעת לקבלת רישומי הרווחה.</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t xml:space="preserve">עמוד </w:t>
    </w:r>
    <w:r>
      <w:rPr>
        <w:rFonts w:ascii="David" w:cs="David" w:eastAsia="David" w:hAnsi="David"/>
        <w:sz w:val="20"/>
        <w:szCs w:val="20"/>
        <w:rtl/>
      </w:rPr>
      <w:fldChar w:fldCharType="begin"/>
      <w:instrText xml:space="preserve">PAGE</w:instrText>
      <w:fldChar w:fldCharType="separate"/>
      <w:fldChar w:fldCharType="end"/>
    </w:r>
    <w:r>
      <w:rPr>
        <w:rFonts w:ascii="David" w:cs="David" w:eastAsia="David" w:hAnsi="David"/>
        <w:sz w:val="20"/>
        <w:szCs w:val="20"/>
        <w:rtl/>
      </w:rPr>
      <w:t xml:space="preserve"> מתוך </w:t>
    </w:r>
    <w:r>
      <w:rPr>
        <w:rFonts w:ascii="David" w:cs="David" w:eastAsia="David" w:hAnsi="David"/>
        <w:sz w:val="20"/>
        <w:szCs w:val="20"/>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lvl w:ilvl="1" w15:tentative="1">
      <w:start w:val="1"/>
      <w:numFmt w:val="decimal"/>
      <w:suff w:val="tab"/>
      <w:lvlText w:val="%1.%2."/>
      <w:lvlJc w:val="star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2026-10-12T13:28:18.276Z</dcterms:created>
  <dcterms:modified xsi:type="dcterms:W3CDTF">2026-10-12T13:28:18.277Z</dcterms:modified>
</cp:coreProperties>
</file>

<file path=docProps/custom.xml><?xml version="1.0" encoding="utf-8"?>
<Properties xmlns="http://schemas.openxmlformats.org/officeDocument/2006/custom-properties" xmlns:vt="http://schemas.openxmlformats.org/officeDocument/2006/docPropsVTypes"/>
</file>