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120" w:line="360" w:lineRule="auto"/>
              <w:jc w:val="start"/>
            </w:pPr>
            <w:r>
              <w:rPr>
                <w:rFonts w:ascii="David" w:cs="David" w:eastAsia="David" w:hAnsi="David"/>
                <w:b/>
                <w:bCs/>
                <w:sz w:val="26"/>
                <w:szCs w:val="26"/>
                <w:rtl/>
              </w:rPr>
              <w:t xml:space="preserve">בבית הדין הרבני האזורי </w:t>
            </w:r>
            <w:r>
              <w:rPr>
                <w:rFonts w:ascii="David" w:cs="David" w:eastAsia="David" w:hAnsi="David"/>
                <w:b/>
                <w:bCs/>
                <w:sz w:val="26"/>
                <w:szCs w:val="26"/>
                <w:highlight w:val="yellow"/>
                <w:highlightCs w:val="yellow"/>
                <w:rtl/>
              </w:rPr>
              <w:t xml:space="preserve">[_______]</w:t>
            </w:r>
          </w:p>
        </w:tc>
        <w:tc>
          <w:tcPr>
            <w:tcW w:type="dxa" w:w="4536"/>
            <w:tcBorders>
              <w:top w:val="none" w:color="FFFFFF" w:sz="0"/>
              <w:left w:val="none" w:color="FFFFFF" w:sz="0"/>
              <w:bottom w:val="none" w:color="FFFFFF" w:sz="0"/>
              <w:right w:val="none" w:color="FFFFFF" w:sz="0"/>
            </w:tcBorders>
          </w:tcPr>
          <w:p>
            <w:pPr>
              <w:bidi/>
              <w:spacing w:after="120" w:line="360" w:lineRule="auto"/>
              <w:jc w:val="end"/>
            </w:pPr>
            <w:r>
              <w:rPr>
                <w:rFonts w:ascii="David" w:cs="David" w:eastAsia="David" w:hAnsi="David"/>
                <w:b/>
                <w:bCs/>
                <w:sz w:val="26"/>
                <w:szCs w:val="26"/>
                <w:rtl/>
              </w:rPr>
              <w:t xml:space="preserve">תיק מס' </w:t>
            </w:r>
            <w:r>
              <w:rPr>
                <w:rFonts w:ascii="David" w:cs="David" w:eastAsia="David" w:hAnsi="David"/>
                <w:b/>
                <w:bCs/>
                <w:sz w:val="26"/>
                <w:szCs w:val="26"/>
                <w:highlight w:val="yellow"/>
                <w:highlightCs w:val="yellow"/>
                <w:rtl/>
              </w:rPr>
              <w:t xml:space="preserve">[__________]</w:t>
            </w:r>
          </w:p>
        </w:tc>
      </w:tr>
    </w:tbl>
    <w:p>
      <w:pPr>
        <w:bidi/>
        <w:spacing w:after="120" w:line="360" w:lineRule="auto"/>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7272"/>
      </w:tblGrid>
      <w:tr>
        <w:tc>
          <w:tcPr>
            <w:tcW w:type="dxa" w:w="1800"/>
            <w:tcBorders>
              <w:top w:val="none" w:color="FFFFFF" w:sz="0"/>
              <w:left w:val="none" w:color="FFFFFF" w:sz="0"/>
              <w:bottom w:val="none" w:color="FFFFFF" w:sz="0"/>
              <w:right w:val="none" w:color="FFFFFF" w:sz="0"/>
            </w:tcBorders>
          </w:tcPr>
          <w:p>
            <w:pPr>
              <w:bidi/>
              <w:spacing w:after="120" w:line="360" w:lineRule="auto"/>
              <w:jc w:val="start"/>
            </w:pPr>
            <w:r>
              <w:rPr>
                <w:rFonts w:ascii="David" w:cs="David" w:eastAsia="David" w:hAnsi="David"/>
                <w:b/>
                <w:bCs/>
                <w:sz w:val="24"/>
                <w:szCs w:val="24"/>
                <w:u w:val="single"/>
                <w:rtl/>
              </w:rPr>
              <w:t xml:space="preserve">התובעת:</w:t>
            </w:r>
          </w:p>
        </w:tc>
        <w:tc>
          <w:tcPr>
            <w:tcW w:type="dxa" w:w="7272"/>
            <w:tcBorders>
              <w:top w:val="none" w:color="FFFFFF" w:sz="0"/>
              <w:left w:val="none" w:color="FFFFFF" w:sz="0"/>
              <w:bottom w:val="none" w:color="FFFFFF" w:sz="0"/>
              <w:right w:val="none" w:color="FFFFFF" w:sz="0"/>
            </w:tcBorders>
          </w:tcPr>
          <w:p>
            <w:pPr>
              <w:bidi/>
              <w:spacing w:after="0" w:line="360" w:lineRule="auto"/>
              <w:jc w:val="start"/>
            </w:pPr>
            <w:r>
              <w:rPr>
                <w:rFonts w:ascii="David" w:cs="David" w:eastAsia="David" w:hAnsi="David"/>
                <w:sz w:val="24"/>
                <w:szCs w:val="24"/>
                <w:highlight w:val="yellow"/>
                <w:highlightCs w:val="yellow"/>
                <w:rtl/>
              </w:rPr>
              <w:t xml:space="preserve">[שם פרטי ושם משפחה]</w:t>
            </w:r>
            <w:r>
              <w:rPr>
                <w:rFonts w:ascii="David" w:cs="David" w:eastAsia="David" w:hAnsi="David"/>
                <w:sz w:val="24"/>
                <w:szCs w:val="24"/>
                <w:rtl/>
              </w:rPr>
              <w:t xml:space="preserve">, ת"ז </w:t>
            </w:r>
            <w:r>
              <w:rPr>
                <w:rFonts w:ascii="David" w:cs="David" w:eastAsia="David" w:hAnsi="David"/>
                <w:sz w:val="24"/>
                <w:szCs w:val="24"/>
                <w:highlight w:val="yellow"/>
                <w:highlightCs w:val="yellow"/>
                <w:rtl/>
              </w:rPr>
              <w:t xml:space="preserve">[_________]</w:t>
            </w:r>
          </w:p>
          <w:p>
            <w:pPr>
              <w:bidi/>
              <w:spacing w:after="0" w:line="360" w:lineRule="auto"/>
              <w:jc w:val="start"/>
            </w:pPr>
            <w:r>
              <w:rPr>
                <w:rFonts w:ascii="David" w:cs="David" w:eastAsia="David" w:hAnsi="David"/>
                <w:sz w:val="24"/>
                <w:szCs w:val="24"/>
                <w:rtl/>
              </w:rPr>
              <w:t xml:space="preserve">מרח'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נתניה</w:t>
            </w:r>
          </w:p>
          <w:p>
            <w:pPr>
              <w:bidi/>
              <w:spacing w:after="0" w:line="360" w:lineRule="auto"/>
              <w:jc w:val="start"/>
            </w:pPr>
            <w:r>
              <w:rPr>
                <w:rFonts w:ascii="David" w:cs="David" w:eastAsia="David" w:hAnsi="David"/>
                <w:sz w:val="24"/>
                <w:szCs w:val="24"/>
                <w:rtl/>
              </w:rPr>
              <w:t xml:space="preserve">באמצעות ב"כ עו"ד </w:t>
            </w:r>
            <w:r>
              <w:rPr>
                <w:rFonts w:ascii="David" w:cs="David" w:eastAsia="David" w:hAnsi="David"/>
                <w:sz w:val="24"/>
                <w:szCs w:val="24"/>
                <w:highlight w:val="yellow"/>
                <w:highlightCs w:val="yellow"/>
                <w:rtl/>
              </w:rPr>
              <w:t xml:space="preserve">[_________]</w:t>
            </w:r>
          </w:p>
          <w:p>
            <w:pPr>
              <w:bidi/>
              <w:spacing w:after="0" w:line="360" w:lineRule="auto"/>
              <w:jc w:val="start"/>
            </w:pPr>
            <w:r>
              <w:rPr>
                <w:rFonts w:ascii="David" w:cs="David" w:eastAsia="David" w:hAnsi="David"/>
                <w:sz w:val="24"/>
                <w:szCs w:val="24"/>
                <w:rtl/>
              </w:rPr>
              <w:t xml:space="preserve">מרח'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טל'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פקס </w:t>
            </w:r>
            <w:r>
              <w:rPr>
                <w:rFonts w:ascii="David" w:cs="David" w:eastAsia="David" w:hAnsi="David"/>
                <w:sz w:val="24"/>
                <w:szCs w:val="24"/>
                <w:highlight w:val="yellow"/>
                <w:highlightCs w:val="yellow"/>
                <w:rtl/>
              </w:rPr>
              <w:t xml:space="preserve">[_________]</w:t>
            </w:r>
          </w:p>
          <w:p>
            <w:pPr>
              <w:bidi/>
              <w:spacing w:after="0" w:line="360" w:lineRule="auto"/>
              <w:jc w:val="start"/>
            </w:pPr>
            <w:r>
              <w:rPr>
                <w:rFonts w:ascii="David" w:cs="David" w:eastAsia="David" w:hAnsi="David"/>
                <w:sz w:val="24"/>
                <w:szCs w:val="24"/>
                <w:rtl/>
              </w:rPr>
              <w:t xml:space="preserve">דוא"ל: </w:t>
            </w:r>
            <w:r>
              <w:rPr>
                <w:rFonts w:ascii="David" w:cs="David" w:eastAsia="David" w:hAnsi="David"/>
                <w:sz w:val="24"/>
                <w:szCs w:val="24"/>
                <w:highlight w:val="yellow"/>
                <w:highlightCs w:val="yellow"/>
                <w:rtl/>
              </w:rPr>
              <w:t xml:space="preserve">[_________]</w:t>
            </w:r>
          </w:p>
        </w:tc>
      </w:tr>
    </w:tbl>
    <w:p>
      <w:pPr>
        <w:bidi/>
        <w:spacing w:after="200" w:before="200" w:line="360" w:lineRule="auto"/>
        <w:jc w:val="center"/>
      </w:pPr>
      <w:r>
        <w:rPr>
          <w:rFonts w:ascii="David" w:cs="David" w:eastAsia="David" w:hAnsi="David"/>
          <w:b/>
          <w:bCs/>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7272"/>
      </w:tblGrid>
      <w:tr>
        <w:tc>
          <w:tcPr>
            <w:tcW w:type="dxa" w:w="1800"/>
            <w:tcBorders>
              <w:top w:val="none" w:color="FFFFFF" w:sz="0"/>
              <w:left w:val="none" w:color="FFFFFF" w:sz="0"/>
              <w:bottom w:val="none" w:color="FFFFFF" w:sz="0"/>
              <w:right w:val="none" w:color="FFFFFF" w:sz="0"/>
            </w:tcBorders>
          </w:tcPr>
          <w:p>
            <w:pPr>
              <w:bidi/>
              <w:spacing w:after="120" w:line="360" w:lineRule="auto"/>
              <w:jc w:val="start"/>
            </w:pPr>
            <w:r>
              <w:rPr>
                <w:rFonts w:ascii="David" w:cs="David" w:eastAsia="David" w:hAnsi="David"/>
                <w:b/>
                <w:bCs/>
                <w:sz w:val="24"/>
                <w:szCs w:val="24"/>
                <w:u w:val="single"/>
                <w:rtl/>
              </w:rPr>
              <w:t xml:space="preserve">הנתבע:</w:t>
            </w:r>
          </w:p>
        </w:tc>
        <w:tc>
          <w:tcPr>
            <w:tcW w:type="dxa" w:w="7272"/>
            <w:tcBorders>
              <w:top w:val="none" w:color="FFFFFF" w:sz="0"/>
              <w:left w:val="none" w:color="FFFFFF" w:sz="0"/>
              <w:bottom w:val="none" w:color="FFFFFF" w:sz="0"/>
              <w:right w:val="none" w:color="FFFFFF" w:sz="0"/>
            </w:tcBorders>
          </w:tcPr>
          <w:p>
            <w:pPr>
              <w:bidi/>
              <w:spacing w:after="0" w:line="360" w:lineRule="auto"/>
              <w:jc w:val="start"/>
            </w:pPr>
            <w:r>
              <w:rPr>
                <w:rFonts w:ascii="David" w:cs="David" w:eastAsia="David" w:hAnsi="David"/>
                <w:sz w:val="24"/>
                <w:szCs w:val="24"/>
                <w:highlight w:val="yellow"/>
                <w:highlightCs w:val="yellow"/>
                <w:rtl/>
              </w:rPr>
              <w:t xml:space="preserve">[שם פרטי ושם משפחה]</w:t>
            </w:r>
            <w:r>
              <w:rPr>
                <w:rFonts w:ascii="David" w:cs="David" w:eastAsia="David" w:hAnsi="David"/>
                <w:sz w:val="24"/>
                <w:szCs w:val="24"/>
                <w:rtl/>
              </w:rPr>
              <w:t xml:space="preserve">, ת"ז </w:t>
            </w:r>
            <w:r>
              <w:rPr>
                <w:rFonts w:ascii="David" w:cs="David" w:eastAsia="David" w:hAnsi="David"/>
                <w:sz w:val="24"/>
                <w:szCs w:val="24"/>
                <w:highlight w:val="yellow"/>
                <w:highlightCs w:val="yellow"/>
                <w:rtl/>
              </w:rPr>
              <w:t xml:space="preserve">[_________]</w:t>
            </w:r>
          </w:p>
          <w:p>
            <w:pPr>
              <w:bidi/>
              <w:spacing w:after="0" w:line="360" w:lineRule="auto"/>
              <w:jc w:val="start"/>
            </w:pPr>
            <w:r>
              <w:rPr>
                <w:rFonts w:ascii="David" w:cs="David" w:eastAsia="David" w:hAnsi="David"/>
                <w:sz w:val="24"/>
                <w:szCs w:val="24"/>
                <w:rtl/>
              </w:rPr>
              <w:t xml:space="preserve">מרח' </w:t>
            </w:r>
            <w:r>
              <w:rPr>
                <w:rFonts w:ascii="David" w:cs="David" w:eastAsia="David" w:hAnsi="David"/>
                <w:sz w:val="24"/>
                <w:szCs w:val="24"/>
                <w:highlight w:val="yellow"/>
                <w:highlightCs w:val="yellow"/>
                <w:rtl/>
              </w:rPr>
              <w:t xml:space="preserve">[כתובת הדירה המשותפת]</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[עיר]</w:t>
            </w:r>
          </w:p>
        </w:tc>
      </w:tr>
    </w:tbl>
    <w:p>
      <w:pPr>
        <w:bidi/>
        <w:spacing w:after="120" w:line="360" w:lineRule="auto"/>
        <w:jc w:val="both"/>
      </w:pPr>
    </w:p>
    <w:p>
      <w:pPr>
        <w:bidi/>
        <w:spacing w:after="240" w:before="240" w:line="360" w:lineRule="auto"/>
        <w:jc w:val="center"/>
      </w:pPr>
      <w:r>
        <w:rPr>
          <w:rFonts w:ascii="David" w:cs="David" w:eastAsia="David" w:hAnsi="David"/>
          <w:b/>
          <w:bCs/>
          <w:sz w:val="28"/>
          <w:szCs w:val="28"/>
          <w:u w:val="single"/>
          <w:rtl/>
        </w:rPr>
        <w:t xml:space="preserve">כתב תביעה לגירושין וכריכת עניינים</w:t>
      </w:r>
    </w:p>
    <w:p>
      <w:pPr>
        <w:bidi/>
        <w:spacing w:after="240" w:before="0" w:line="360" w:lineRule="auto"/>
        <w:jc w:val="center"/>
      </w:pPr>
      <w:r>
        <w:rPr>
          <w:rFonts w:ascii="David" w:cs="David" w:eastAsia="David" w:hAnsi="David"/>
          <w:b/>
          <w:bCs/>
          <w:sz w:val="24"/>
          <w:szCs w:val="24"/>
          <w:rtl/>
        </w:rPr>
        <w:t xml:space="preserve">(כריכת פירוק שיתוף בדירת המגורים ודמי שימוש ראויים)</w:t>
      </w:r>
    </w:p>
    <w:p>
      <w:pPr>
        <w:bidi/>
        <w:spacing w:after="120" w:line="360" w:lineRule="auto"/>
        <w:jc w:val="both"/>
      </w:pPr>
      <w:r>
        <w:rPr>
          <w:rFonts w:ascii="David" w:cs="David" w:eastAsia="David" w:hAnsi="David"/>
          <w:b/>
          <w:bCs/>
          <w:sz w:val="24"/>
          <w:szCs w:val="24"/>
          <w:rtl/>
        </w:rPr>
        <w:t xml:space="preserve">מהות התביעה:</w:t>
      </w:r>
      <w:r>
        <w:rPr>
          <w:rFonts w:ascii="David" w:cs="David" w:eastAsia="David" w:hAnsi="David"/>
          <w:sz w:val="24"/>
          <w:szCs w:val="24"/>
          <w:rtl/>
        </w:rPr>
        <w:t xml:space="preserve"> גירושין; פירוק שיתוף במקרקעין; דמי שימוש ראויים.</w:t>
      </w:r>
    </w:p>
    <w:p>
      <w:pPr>
        <w:bidi/>
        <w:spacing w:after="120" w:line="360" w:lineRule="auto"/>
        <w:jc w:val="both"/>
      </w:pPr>
      <w:r>
        <w:rPr>
          <w:rFonts w:ascii="David" w:cs="David" w:eastAsia="David" w:hAnsi="David"/>
          <w:b/>
          <w:bCs/>
          <w:sz w:val="24"/>
          <w:szCs w:val="24"/>
          <w:rtl/>
        </w:rPr>
        <w:t xml:space="preserve">שווי הדירה (הערכה):</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[_______]</w:t>
      </w:r>
      <w:r>
        <w:rPr>
          <w:rFonts w:ascii="David" w:cs="David" w:eastAsia="David" w:hAnsi="David"/>
          <w:sz w:val="24"/>
          <w:szCs w:val="24"/>
          <w:rtl/>
        </w:rPr>
        <w:t xml:space="preserve"> ש"ח. </w:t>
      </w:r>
      <w:r>
        <w:rPr>
          <w:rFonts w:ascii="David" w:cs="David" w:eastAsia="David" w:hAnsi="David"/>
          <w:b/>
          <w:bCs/>
          <w:sz w:val="24"/>
          <w:szCs w:val="24"/>
          <w:rtl/>
        </w:rPr>
        <w:t xml:space="preserve">סכום דמי השימוש הנתבעים (נכון ליום הגשת התביעה):</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[_______]</w:t>
      </w:r>
      <w:r>
        <w:rPr>
          <w:rFonts w:ascii="David" w:cs="David" w:eastAsia="David" w:hAnsi="David"/>
          <w:sz w:val="24"/>
          <w:szCs w:val="24"/>
          <w:rtl/>
        </w:rPr>
        <w:t xml:space="preserve"> ש"ח.</w:t>
      </w:r>
    </w:p>
    <w:p>
      <w:pPr>
        <w:bidi/>
        <w:spacing w:after="120" w:line="360" w:lineRule="auto"/>
        <w:jc w:val="both"/>
      </w:pPr>
      <w:r>
        <w:rPr>
          <w:rFonts w:ascii="David" w:cs="David" w:eastAsia="David" w:hAnsi="David"/>
          <w:sz w:val="24"/>
          <w:szCs w:val="24"/>
          <w:rtl/>
        </w:rPr>
        <w:t xml:space="preserve">בית הדין הנכבד מתבקש לחייב את הנתבע ליתן לתובעת גט פיטורין, ולדון ולהכריע בעניינים הכרוכים בתביעה זו, הכל כמפורט להלן.</w:t>
      </w:r>
    </w:p>
    <w:p>
      <w:pPr>
        <w:keepNext/>
        <w:bidi/>
        <w:spacing w:after="120" w:before="240" w:line="360" w:lineRule="auto"/>
        <w:jc w:val="start"/>
      </w:pPr>
      <w:r>
        <w:rPr>
          <w:rFonts w:ascii="David" w:cs="David" w:eastAsia="David" w:hAnsi="David"/>
          <w:b/>
          <w:bCs/>
          <w:sz w:val="24"/>
          <w:szCs w:val="24"/>
          <w:u w:val="single"/>
          <w:rtl/>
        </w:rPr>
        <w:t xml:space="preserve">א. פתח דבר</w:t>
      </w:r>
    </w:p>
    <w:p>
      <w:pPr>
        <w:pStyle w:val="ListParagraph"/>
        <w:numPr>
          <w:ilvl w:val="0"/>
          <w:numId w:val="2"/>
        </w:numPr>
        <w:bidi/>
        <w:spacing w:after="120" w:line="360" w:lineRule="auto"/>
        <w:jc w:val="both"/>
      </w:pPr>
      <w:r>
        <w:rPr>
          <w:rFonts w:ascii="David" w:cs="David" w:eastAsia="David" w:hAnsi="David"/>
          <w:sz w:val="24"/>
          <w:szCs w:val="24"/>
          <w:rtl/>
        </w:rPr>
        <w:t xml:space="preserve">תביעה זו עניינה אישה שנאלצה לעזוב את ביתה מפני אלימות בעלה, ומזה כשבע שנים מתגוררת בבית אמה, בעוד הנתבע נהנה לבדו, ללא כל תמורה, מדירה שמחציתה שייכת לה.</w:t>
      </w:r>
    </w:p>
    <w:p>
      <w:pPr>
        <w:pStyle w:val="ListParagraph"/>
        <w:numPr>
          <w:ilvl w:val="0"/>
          <w:numId w:val="2"/>
        </w:numPr>
        <w:bidi/>
        <w:spacing w:after="120" w:line="360" w:lineRule="auto"/>
        <w:jc w:val="both"/>
      </w:pPr>
      <w:r>
        <w:rPr>
          <w:rFonts w:ascii="David" w:cs="David" w:eastAsia="David" w:hAnsi="David"/>
          <w:sz w:val="24"/>
          <w:szCs w:val="24"/>
          <w:rtl/>
        </w:rPr>
        <w:t xml:space="preserve">הצדדים חיים בנפרד מזה כשבע שנים. אין ביניהם כל קשר של חיי אישות, ואין כל סיכוי לשלום בית. הגיעה העת לשים קץ לנישואין, לפרק את השיתוף בדירה ולחייב את הנתבע בדמי שימוש ראויים בגין השימוש הבלעדי שעשה בחלקה של התובעת.</w:t>
      </w:r>
    </w:p>
    <w:p>
      <w:pPr>
        <w:keepNext/>
        <w:bidi/>
        <w:spacing w:after="120" w:before="240" w:line="360" w:lineRule="auto"/>
        <w:jc w:val="start"/>
      </w:pPr>
      <w:r>
        <w:rPr>
          <w:rFonts w:ascii="David" w:cs="David" w:eastAsia="David" w:hAnsi="David"/>
          <w:b/>
          <w:bCs/>
          <w:sz w:val="24"/>
          <w:szCs w:val="24"/>
          <w:u w:val="single"/>
          <w:rtl/>
        </w:rPr>
        <w:t xml:space="preserve">ב. הצדדים והרקע העובדתי</w:t>
      </w:r>
    </w:p>
    <w:p>
      <w:pPr>
        <w:pStyle w:val="ListParagraph"/>
        <w:numPr>
          <w:ilvl w:val="0"/>
          <w:numId w:val="2"/>
        </w:numPr>
        <w:bidi/>
        <w:spacing w:after="120" w:line="360" w:lineRule="auto"/>
        <w:jc w:val="both"/>
      </w:pPr>
      <w:r>
        <w:rPr>
          <w:rFonts w:ascii="David" w:cs="David" w:eastAsia="David" w:hAnsi="David"/>
          <w:sz w:val="24"/>
          <w:szCs w:val="24"/>
          <w:rtl/>
        </w:rPr>
        <w:t xml:space="preserve">התובעת והנתבע נישאו זה לזו כדת משה וישראל ביום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ב</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העתק תעודת הנישואין והכתובה מצורף ומסומן </w:t>
      </w:r>
      <w:r>
        <w:rPr>
          <w:rFonts w:ascii="David" w:cs="David" w:eastAsia="David" w:hAnsi="David"/>
          <w:b/>
          <w:bCs/>
          <w:sz w:val="24"/>
          <w:szCs w:val="24"/>
          <w:rtl/>
        </w:rPr>
        <w:t xml:space="preserve">נספח 1</w:t>
      </w:r>
      <w:r>
        <w:rPr>
          <w:rFonts w:ascii="David" w:cs="David" w:eastAsia="David" w:hAnsi="David"/>
          <w:sz w:val="24"/>
          <w:szCs w:val="24"/>
          <w:rtl/>
        </w:rPr>
        <w:t xml:space="preserve">.</w:t>
      </w:r>
    </w:p>
    <w:p>
      <w:pPr>
        <w:pStyle w:val="ListParagraph"/>
        <w:numPr>
          <w:ilvl w:val="0"/>
          <w:numId w:val="2"/>
        </w:numPr>
        <w:bidi/>
        <w:spacing w:after="120" w:line="360" w:lineRule="auto"/>
        <w:jc w:val="both"/>
      </w:pPr>
      <w:r>
        <w:rPr>
          <w:rFonts w:ascii="David" w:cs="David" w:eastAsia="David" w:hAnsi="David"/>
          <w:sz w:val="24"/>
          <w:szCs w:val="24"/>
          <w:rtl/>
        </w:rPr>
        <w:t xml:space="preserve">לצדדים שבעה ילדים משותפים, כולם בגירים: </w:t>
      </w:r>
      <w:r>
        <w:rPr>
          <w:rFonts w:ascii="David" w:cs="David" w:eastAsia="David" w:hAnsi="David"/>
          <w:sz w:val="24"/>
          <w:szCs w:val="24"/>
          <w:highlight w:val="yellow"/>
          <w:highlightCs w:val="yellow"/>
          <w:rtl/>
        </w:rPr>
        <w:t xml:space="preserve">[שם, שנת לידה]</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[שם, שנת לידה]</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[שם, שנת לידה]</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[שם, שנת לידה]</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[שם, שנת לידה]</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[שם, שנת לידה]</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[שם, שנת לידה]</w:t>
      </w:r>
      <w:r>
        <w:rPr>
          <w:rFonts w:ascii="David" w:cs="David" w:eastAsia="David" w:hAnsi="David"/>
          <w:sz w:val="24"/>
          <w:szCs w:val="24"/>
          <w:rtl/>
        </w:rPr>
        <w:t xml:space="preserve">. משכך, אין בין הצדדים כל מחלוקת בענייני משמורת, הסדרי שהות או מזונות ילדים.</w:t>
      </w:r>
    </w:p>
    <w:p>
      <w:pPr>
        <w:pStyle w:val="ListParagraph"/>
        <w:numPr>
          <w:ilvl w:val="0"/>
          <w:numId w:val="2"/>
        </w:numPr>
        <w:bidi/>
        <w:spacing w:after="120" w:line="360" w:lineRule="auto"/>
        <w:jc w:val="both"/>
      </w:pPr>
      <w:r>
        <w:rPr>
          <w:rFonts w:ascii="David" w:cs="David" w:eastAsia="David" w:hAnsi="David"/>
          <w:sz w:val="24"/>
          <w:szCs w:val="24"/>
          <w:rtl/>
        </w:rPr>
        <w:t xml:space="preserve">הצדדים הם הבעלים הרשומים, בחלקים שווים, של דירת מגורים ברח'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[עיר]</w:t>
      </w:r>
      <w:r>
        <w:rPr>
          <w:rFonts w:ascii="David" w:cs="David" w:eastAsia="David" w:hAnsi="David"/>
          <w:sz w:val="24"/>
          <w:szCs w:val="24"/>
          <w:rtl/>
        </w:rPr>
        <w:t xml:space="preserve">, הידועה כגוש </w:t>
      </w:r>
      <w:r>
        <w:rPr>
          <w:rFonts w:ascii="David" w:cs="David" w:eastAsia="David" w:hAnsi="David"/>
          <w:sz w:val="24"/>
          <w:szCs w:val="24"/>
          <w:highlight w:val="yellow"/>
          <w:highlightCs w:val="yellow"/>
          <w:rtl/>
        </w:rPr>
        <w:t xml:space="preserve">[____]</w:t>
      </w:r>
      <w:r>
        <w:rPr>
          <w:rFonts w:ascii="David" w:cs="David" w:eastAsia="David" w:hAnsi="David"/>
          <w:sz w:val="24"/>
          <w:szCs w:val="24"/>
          <w:rtl/>
        </w:rPr>
        <w:t xml:space="preserve"> חלקה </w:t>
      </w:r>
      <w:r>
        <w:rPr>
          <w:rFonts w:ascii="David" w:cs="David" w:eastAsia="David" w:hAnsi="David"/>
          <w:sz w:val="24"/>
          <w:szCs w:val="24"/>
          <w:highlight w:val="yellow"/>
          <w:highlightCs w:val="yellow"/>
          <w:rtl/>
        </w:rPr>
        <w:t xml:space="preserve">[____]</w:t>
      </w:r>
      <w:r>
        <w:rPr>
          <w:rFonts w:ascii="David" w:cs="David" w:eastAsia="David" w:hAnsi="David"/>
          <w:sz w:val="24"/>
          <w:szCs w:val="24"/>
          <w:rtl/>
        </w:rPr>
        <w:t xml:space="preserve"> תת חלקה </w:t>
      </w:r>
      <w:r>
        <w:rPr>
          <w:rFonts w:ascii="David" w:cs="David" w:eastAsia="David" w:hAnsi="David"/>
          <w:sz w:val="24"/>
          <w:szCs w:val="24"/>
          <w:highlight w:val="yellow"/>
          <w:highlightCs w:val="yellow"/>
          <w:rtl/>
        </w:rPr>
        <w:t xml:space="preserve">[____]</w:t>
      </w:r>
      <w:r>
        <w:rPr>
          <w:rFonts w:ascii="David" w:cs="David" w:eastAsia="David" w:hAnsi="David"/>
          <w:sz w:val="24"/>
          <w:szCs w:val="24"/>
          <w:rtl/>
        </w:rPr>
        <w:t xml:space="preserve">, בת </w:t>
      </w:r>
      <w:r>
        <w:rPr>
          <w:rFonts w:ascii="David" w:cs="David" w:eastAsia="David" w:hAnsi="David"/>
          <w:sz w:val="24"/>
          <w:szCs w:val="24"/>
          <w:highlight w:val="yellow"/>
          <w:highlightCs w:val="yellow"/>
          <w:rtl/>
        </w:rPr>
        <w:t xml:space="preserve">[__]</w:t>
      </w:r>
      <w:r>
        <w:rPr>
          <w:rFonts w:ascii="David" w:cs="David" w:eastAsia="David" w:hAnsi="David"/>
          <w:sz w:val="24"/>
          <w:szCs w:val="24"/>
          <w:rtl/>
        </w:rPr>
        <w:t xml:space="preserve"> חדרים (להלן: "</w:t>
      </w:r>
      <w:r>
        <w:rPr>
          <w:rFonts w:ascii="David" w:cs="David" w:eastAsia="David" w:hAnsi="David"/>
          <w:b/>
          <w:bCs/>
          <w:sz w:val="24"/>
          <w:szCs w:val="24"/>
          <w:rtl/>
        </w:rPr>
        <w:t xml:space="preserve">הדירה</w:t>
      </w:r>
      <w:r>
        <w:rPr>
          <w:rFonts w:ascii="David" w:cs="David" w:eastAsia="David" w:hAnsi="David"/>
          <w:sz w:val="24"/>
          <w:szCs w:val="24"/>
          <w:rtl/>
        </w:rPr>
        <w:t xml:space="preserve">"). הדירה שימשה כבית המגורים של המשפחה. נסח רישום מקרקעין מצורף ומסומן </w:t>
      </w:r>
      <w:r>
        <w:rPr>
          <w:rFonts w:ascii="David" w:cs="David" w:eastAsia="David" w:hAnsi="David"/>
          <w:b/>
          <w:bCs/>
          <w:sz w:val="24"/>
          <w:szCs w:val="24"/>
          <w:rtl/>
        </w:rPr>
        <w:t xml:space="preserve">נספח 2</w:t>
      </w:r>
      <w:r>
        <w:rPr>
          <w:rFonts w:ascii="David" w:cs="David" w:eastAsia="David" w:hAnsi="David"/>
          <w:sz w:val="24"/>
          <w:szCs w:val="24"/>
          <w:rtl/>
        </w:rPr>
        <w:t xml:space="preserve">.</w:t>
      </w:r>
    </w:p>
    <w:p>
      <w:pPr>
        <w:pStyle w:val="ListParagraph"/>
        <w:numPr>
          <w:ilvl w:val="0"/>
          <w:numId w:val="2"/>
        </w:numPr>
        <w:bidi/>
        <w:spacing w:after="120" w:line="360" w:lineRule="auto"/>
        <w:jc w:val="both"/>
      </w:pPr>
      <w:r>
        <w:rPr>
          <w:rFonts w:ascii="David" w:cs="David" w:eastAsia="David" w:hAnsi="David"/>
          <w:sz w:val="24"/>
          <w:szCs w:val="24"/>
          <w:highlight w:val="yellow"/>
          <w:highlightCs w:val="yellow"/>
          <w:rtl/>
        </w:rPr>
        <w:t xml:space="preserve">[ככל שקיימת משכנתא: הדירה משועבדת לטובת בנק _________ להבטחת הלוואה שיתרתה כיום כ-_______ ש"ח. ככל שאין משכנתא - למחוק סעיף זה.]</w:t>
      </w:r>
    </w:p>
    <w:p>
      <w:pPr>
        <w:pStyle w:val="ListParagraph"/>
        <w:numPr>
          <w:ilvl w:val="0"/>
          <w:numId w:val="2"/>
        </w:numPr>
        <w:bidi/>
        <w:spacing w:after="120" w:line="360" w:lineRule="auto"/>
        <w:jc w:val="both"/>
      </w:pPr>
      <w:r>
        <w:rPr>
          <w:rFonts w:ascii="David" w:cs="David" w:eastAsia="David" w:hAnsi="David"/>
          <w:sz w:val="24"/>
          <w:szCs w:val="24"/>
          <w:rtl/>
        </w:rPr>
        <w:t xml:space="preserve">לאורך שנות הנישואין נהג הנתבע באלימות כלפי התובעת. </w:t>
      </w:r>
      <w:r>
        <w:rPr>
          <w:rFonts w:ascii="David" w:cs="David" w:eastAsia="David" w:hAnsi="David"/>
          <w:sz w:val="24"/>
          <w:szCs w:val="24"/>
          <w:highlight w:val="yellow"/>
          <w:highlightCs w:val="yellow"/>
          <w:rtl/>
        </w:rPr>
        <w:t xml:space="preserve">[לפרט: סוג האלימות (פיזית / מילולית / רגשית / כלכלית), אירועים בולטים ומועדם המשוער, ועדים לאירועים, ככל שיש.]</w:t>
      </w:r>
    </w:p>
    <w:p>
      <w:pPr>
        <w:pStyle w:val="ListParagraph"/>
        <w:numPr>
          <w:ilvl w:val="0"/>
          <w:numId w:val="2"/>
        </w:numPr>
        <w:bidi/>
        <w:spacing w:after="120" w:line="360" w:lineRule="auto"/>
        <w:jc w:val="both"/>
      </w:pPr>
      <w:r>
        <w:rPr>
          <w:rFonts w:ascii="David" w:cs="David" w:eastAsia="David" w:hAnsi="David"/>
          <w:sz w:val="24"/>
          <w:szCs w:val="24"/>
          <w:rtl/>
        </w:rPr>
        <w:t xml:space="preserve">התובעת שיתפה בדבר האלימות את העובדת הסוציאלית במחלקה לשירותים חברתיים ב</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[שם העו"ס, ככל שידוע]</w:t>
      </w:r>
      <w:r>
        <w:rPr>
          <w:rFonts w:ascii="David" w:cs="David" w:eastAsia="David" w:hAnsi="David"/>
          <w:sz w:val="24"/>
          <w:szCs w:val="24"/>
          <w:rtl/>
        </w:rPr>
        <w:t xml:space="preserve">, ופנייתה מתועדת ברישומי מחלקת הרווחה. </w:t>
      </w:r>
      <w:r>
        <w:rPr>
          <w:rFonts w:ascii="David" w:cs="David" w:eastAsia="David" w:hAnsi="David"/>
          <w:sz w:val="24"/>
          <w:szCs w:val="24"/>
          <w:highlight w:val="yellow"/>
          <w:highlightCs w:val="yellow"/>
          <w:rtl/>
        </w:rPr>
        <w:t xml:space="preserve">[ככל שהוגשה תלונה במשטרה או ניתן צו הגנה - לפרט כאן.]</w:t>
      </w:r>
    </w:p>
    <w:p>
      <w:pPr>
        <w:pStyle w:val="ListParagraph"/>
        <w:numPr>
          <w:ilvl w:val="0"/>
          <w:numId w:val="2"/>
        </w:numPr>
        <w:bidi/>
        <w:spacing w:after="120" w:line="360" w:lineRule="auto"/>
        <w:jc w:val="both"/>
      </w:pPr>
      <w:r>
        <w:rPr>
          <w:rFonts w:ascii="David" w:cs="David" w:eastAsia="David" w:hAnsi="David"/>
          <w:sz w:val="24"/>
          <w:szCs w:val="24"/>
          <w:rtl/>
        </w:rPr>
        <w:t xml:space="preserve">ב</w:t>
      </w:r>
      <w:r>
        <w:rPr>
          <w:rFonts w:ascii="David" w:cs="David" w:eastAsia="David" w:hAnsi="David"/>
          <w:sz w:val="24"/>
          <w:szCs w:val="24"/>
          <w:highlight w:val="yellow"/>
          <w:highlightCs w:val="yellow"/>
          <w:rtl/>
        </w:rPr>
        <w:t xml:space="preserve">[חודש]</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[שנה, כשבע שנים לפני הגשת התביעה]</w:t>
      </w:r>
      <w:r>
        <w:rPr>
          <w:rFonts w:ascii="David" w:cs="David" w:eastAsia="David" w:hAnsi="David"/>
          <w:sz w:val="24"/>
          <w:szCs w:val="24"/>
          <w:rtl/>
        </w:rPr>
        <w:t xml:space="preserve">, משלא יכלה עוד לשאת את האלימות, ולמען שלומה וביטחונה, נאלצה התובעת לעזוב את הדירה. מאז ועד היום מתגוררת התובעת בבית אמה בנתניה, ללא דירה משלה.</w:t>
      </w:r>
    </w:p>
    <w:p>
      <w:pPr>
        <w:pStyle w:val="ListParagraph"/>
        <w:numPr>
          <w:ilvl w:val="0"/>
          <w:numId w:val="2"/>
        </w:numPr>
        <w:bidi/>
        <w:spacing w:after="120" w:line="360" w:lineRule="auto"/>
        <w:jc w:val="both"/>
      </w:pPr>
      <w:r>
        <w:rPr>
          <w:rFonts w:ascii="David" w:cs="David" w:eastAsia="David" w:hAnsi="David"/>
          <w:sz w:val="24"/>
          <w:szCs w:val="24"/>
          <w:rtl/>
        </w:rPr>
        <w:t xml:space="preserve">יודגש: התובעת לא עזבה את הדירה מרצונה החופשי ולא ויתרה על זכויותיה בה. עזיבתה נכפתה עליה בשל התנהגות הנתבע, ומשמעותה המעשית היא כי הנתבע הדיר אותה מן הדירה שבבעלותה המשותפת.</w:t>
      </w:r>
    </w:p>
    <w:p>
      <w:pPr>
        <w:pStyle w:val="ListParagraph"/>
        <w:numPr>
          <w:ilvl w:val="0"/>
          <w:numId w:val="2"/>
        </w:numPr>
        <w:bidi/>
        <w:spacing w:after="120" w:line="360" w:lineRule="auto"/>
        <w:jc w:val="both"/>
      </w:pPr>
      <w:r>
        <w:rPr>
          <w:rFonts w:ascii="David" w:cs="David" w:eastAsia="David" w:hAnsi="David"/>
          <w:sz w:val="24"/>
          <w:szCs w:val="24"/>
          <w:rtl/>
        </w:rPr>
        <w:t xml:space="preserve">מאז עזיבת התובעת, הנתבע מחזיק בדירה כולה ומשתמש בה לבדו. הנתבע הרחיק מן הדירה אף את ילדי הצדדים, והוא מתגורר בה כיום לבדו. כל אותה עת לא שילם הנתבע לתובעת דבר בעבור השימוש הבלעדי בחלקה.</w:t>
      </w:r>
    </w:p>
    <w:p>
      <w:pPr>
        <w:pStyle w:val="ListParagraph"/>
        <w:numPr>
          <w:ilvl w:val="0"/>
          <w:numId w:val="2"/>
        </w:numPr>
        <w:bidi/>
        <w:spacing w:after="120" w:line="360" w:lineRule="auto"/>
        <w:jc w:val="both"/>
      </w:pPr>
      <w:r>
        <w:rPr>
          <w:rFonts w:ascii="David" w:cs="David" w:eastAsia="David" w:hAnsi="David"/>
          <w:sz w:val="24"/>
          <w:szCs w:val="24"/>
          <w:rtl/>
        </w:rPr>
        <w:t xml:space="preserve">בשנת 2025 הגיש הנתבע לבית המשפט </w:t>
      </w:r>
      <w:r>
        <w:rPr>
          <w:rFonts w:ascii="David" w:cs="David" w:eastAsia="David" w:hAnsi="David"/>
          <w:sz w:val="24"/>
          <w:szCs w:val="24"/>
          <w:highlight w:val="yellow"/>
          <w:highlightCs w:val="yellow"/>
          <w:rtl/>
        </w:rPr>
        <w:t xml:space="preserve">[לענייני משפחה / השלום]</w:t>
      </w:r>
      <w:r>
        <w:rPr>
          <w:rFonts w:ascii="David" w:cs="David" w:eastAsia="David" w:hAnsi="David"/>
          <w:sz w:val="24"/>
          <w:szCs w:val="24"/>
          <w:rtl/>
        </w:rPr>
        <w:t xml:space="preserve"> ב</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בקשה למתן צו הרחקה נגד התובעת (ה"ט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כאשר הגיע מועד הדיון שנקבע בבקשה, התקשר הנתבע והודיע כי אינו מעוניין להגיע לדיון, בטענה כי אחיו חולה. </w:t>
      </w:r>
      <w:r>
        <w:rPr>
          <w:rFonts w:ascii="David" w:cs="David" w:eastAsia="David" w:hAnsi="David"/>
          <w:sz w:val="24"/>
          <w:szCs w:val="24"/>
          <w:highlight w:val="yellow"/>
          <w:highlightCs w:val="yellow"/>
          <w:rtl/>
        </w:rPr>
        <w:t xml:space="preserve">[לפרט את תוצאת ההליך: הבקשה נמחקה / נדחתה / אחר.]</w:t>
      </w:r>
      <w:r>
        <w:rPr>
          <w:rFonts w:ascii="David" w:cs="David" w:eastAsia="David" w:hAnsi="David"/>
          <w:sz w:val="24"/>
          <w:szCs w:val="24"/>
          <w:rtl/>
        </w:rPr>
        <w:t xml:space="preserve"> העתק </w:t>
      </w:r>
      <w:r>
        <w:rPr>
          <w:rFonts w:ascii="David" w:cs="David" w:eastAsia="David" w:hAnsi="David"/>
          <w:sz w:val="24"/>
          <w:szCs w:val="24"/>
          <w:highlight w:val="yellow"/>
          <w:highlightCs w:val="yellow"/>
          <w:rtl/>
        </w:rPr>
        <w:t xml:space="preserve">[ההחלטות / הפרוטוקול]</w:t>
      </w:r>
      <w:r>
        <w:rPr>
          <w:rFonts w:ascii="David" w:cs="David" w:eastAsia="David" w:hAnsi="David"/>
          <w:sz w:val="24"/>
          <w:szCs w:val="24"/>
          <w:rtl/>
        </w:rPr>
        <w:t xml:space="preserve"> בהליך מצורף ומסומן </w:t>
      </w:r>
      <w:r>
        <w:rPr>
          <w:rFonts w:ascii="David" w:cs="David" w:eastAsia="David" w:hAnsi="David"/>
          <w:b/>
          <w:bCs/>
          <w:sz w:val="24"/>
          <w:szCs w:val="24"/>
          <w:rtl/>
        </w:rPr>
        <w:t xml:space="preserve">נספח 3</w:t>
      </w:r>
      <w:r>
        <w:rPr>
          <w:rFonts w:ascii="David" w:cs="David" w:eastAsia="David" w:hAnsi="David"/>
          <w:sz w:val="24"/>
          <w:szCs w:val="24"/>
          <w:rtl/>
        </w:rPr>
        <w:t xml:space="preserve">.</w:t>
      </w:r>
    </w:p>
    <w:p>
      <w:pPr>
        <w:pStyle w:val="ListParagraph"/>
        <w:numPr>
          <w:ilvl w:val="0"/>
          <w:numId w:val="2"/>
        </w:numPr>
        <w:bidi/>
        <w:spacing w:after="120" w:line="360" w:lineRule="auto"/>
        <w:jc w:val="both"/>
      </w:pPr>
      <w:r>
        <w:rPr>
          <w:rFonts w:ascii="David" w:cs="David" w:eastAsia="David" w:hAnsi="David"/>
          <w:sz w:val="24"/>
          <w:szCs w:val="24"/>
          <w:rtl/>
        </w:rPr>
        <w:t xml:space="preserve">התובעת תטען כי הבקשה לצו הרחקה הייתה חסרת כל בסיס. מי שחושש באמת לשלומו אינו נוטש את בקשתו ביום הדיון. התובעת תטען כי מדובר בצעד טקטי שנועד לצייר מצג שווא ולהבטיח כי התובעת לא תשוב לדירה שבבעלותה, ובכך להנציח את שליטתו הבלעדית של הנתבע בה.</w:t>
      </w:r>
    </w:p>
    <w:p>
      <w:pPr>
        <w:keepNext/>
        <w:bidi/>
        <w:spacing w:after="120" w:before="240" w:line="360" w:lineRule="auto"/>
        <w:jc w:val="start"/>
      </w:pPr>
      <w:r>
        <w:rPr>
          <w:rFonts w:ascii="David" w:cs="David" w:eastAsia="David" w:hAnsi="David"/>
          <w:b/>
          <w:bCs/>
          <w:sz w:val="24"/>
          <w:szCs w:val="24"/>
          <w:u w:val="single"/>
          <w:rtl/>
        </w:rPr>
        <w:t xml:space="preserve">ג. עילת הגירושין</w:t>
      </w:r>
    </w:p>
    <w:p>
      <w:pPr>
        <w:pStyle w:val="ListParagraph"/>
        <w:numPr>
          <w:ilvl w:val="0"/>
          <w:numId w:val="2"/>
        </w:numPr>
        <w:bidi/>
        <w:spacing w:after="120" w:line="360" w:lineRule="auto"/>
        <w:jc w:val="both"/>
      </w:pPr>
      <w:r>
        <w:rPr>
          <w:rFonts w:ascii="David" w:cs="David" w:eastAsia="David" w:hAnsi="David"/>
          <w:b/>
          <w:bCs/>
          <w:sz w:val="24"/>
          <w:szCs w:val="24"/>
          <w:rtl/>
        </w:rPr>
        <w:t xml:space="preserve">פירוד ממושך ומות הנישואין.</w:t>
      </w:r>
      <w:r>
        <w:rPr>
          <w:rFonts w:ascii="David" w:cs="David" w:eastAsia="David" w:hAnsi="David"/>
          <w:sz w:val="24"/>
          <w:szCs w:val="24"/>
          <w:rtl/>
        </w:rPr>
        <w:t xml:space="preserve"> הצדדים חיים בנפרד מזה כשבע שנים רצופות. במשך כל התקופה לא התקיימו ביניהם חיי משפחה או חיי אישות, ולא נעשה כל ניסיון של ממש לשלום בית. הנישואין הגיעו לקיצם הלכה למעשה, וכל שנותר הוא להסדיר את פקיעתם כדין.</w:t>
      </w:r>
    </w:p>
    <w:p>
      <w:pPr>
        <w:pStyle w:val="ListParagraph"/>
        <w:numPr>
          <w:ilvl w:val="0"/>
          <w:numId w:val="2"/>
        </w:numPr>
        <w:bidi/>
        <w:spacing w:after="120" w:line="360" w:lineRule="auto"/>
        <w:jc w:val="both"/>
      </w:pPr>
      <w:r>
        <w:rPr>
          <w:rFonts w:ascii="David" w:cs="David" w:eastAsia="David" w:hAnsi="David"/>
          <w:b/>
          <w:bCs/>
          <w:sz w:val="24"/>
          <w:szCs w:val="24"/>
          <w:rtl/>
        </w:rPr>
        <w:t xml:space="preserve">אלימות הנתבע.</w:t>
      </w:r>
      <w:r>
        <w:rPr>
          <w:rFonts w:ascii="David" w:cs="David" w:eastAsia="David" w:hAnsi="David"/>
          <w:sz w:val="24"/>
          <w:szCs w:val="24"/>
          <w:rtl/>
        </w:rPr>
        <w:t xml:space="preserve"> אלימותו של הנתבע היא שהביאה לפירוק התא המשפחתי. על פי ההלכה, בעל המכה את אשתו ואינו חוזר בו מהתנהגותו, כופין אותו להוציא (רמ"א, שולחן ערוך אבן העזר, סימן קנד, סעיף ג). אלימות הנתבע מהווה, אפוא, עילה מוכרת לחיובו במתן גט.</w:t>
      </w:r>
    </w:p>
    <w:p>
      <w:pPr>
        <w:pStyle w:val="ListParagraph"/>
        <w:numPr>
          <w:ilvl w:val="0"/>
          <w:numId w:val="2"/>
        </w:numPr>
        <w:bidi/>
        <w:spacing w:after="120" w:line="360" w:lineRule="auto"/>
        <w:jc w:val="both"/>
      </w:pPr>
      <w:r>
        <w:rPr>
          <w:rFonts w:ascii="David" w:cs="David" w:eastAsia="David" w:hAnsi="David"/>
          <w:b/>
          <w:bCs/>
          <w:sz w:val="24"/>
          <w:szCs w:val="24"/>
          <w:rtl/>
        </w:rPr>
        <w:t xml:space="preserve">מאיס עלי.</w:t>
      </w:r>
      <w:r>
        <w:rPr>
          <w:rFonts w:ascii="David" w:cs="David" w:eastAsia="David" w:hAnsi="David"/>
          <w:sz w:val="24"/>
          <w:szCs w:val="24"/>
          <w:rtl/>
        </w:rPr>
        <w:t xml:space="preserve"> לאחר שנים של אלימות ופירוד, התובעת מואסת בנתבע מחמת התנהגותו כלפיה, ומאיסתה נשענת על עילה מבוררת ומוצדקת (רמב"ם, הלכות אישות, פרק יד, הלכה ח).</w:t>
      </w:r>
    </w:p>
    <w:p>
      <w:pPr>
        <w:pStyle w:val="ListParagraph"/>
        <w:numPr>
          <w:ilvl w:val="0"/>
          <w:numId w:val="2"/>
        </w:numPr>
        <w:bidi/>
        <w:spacing w:after="120" w:line="360" w:lineRule="auto"/>
        <w:jc w:val="both"/>
      </w:pPr>
      <w:r>
        <w:rPr>
          <w:rFonts w:ascii="David" w:cs="David" w:eastAsia="David" w:hAnsi="David"/>
          <w:b/>
          <w:bCs/>
          <w:sz w:val="24"/>
          <w:szCs w:val="24"/>
          <w:rtl/>
        </w:rPr>
        <w:t xml:space="preserve">הנתבע עצמו אינו מבקש את קרבת התובעת.</w:t>
      </w:r>
      <w:r>
        <w:rPr>
          <w:rFonts w:ascii="David" w:cs="David" w:eastAsia="David" w:hAnsi="David"/>
          <w:sz w:val="24"/>
          <w:szCs w:val="24"/>
          <w:rtl/>
        </w:rPr>
        <w:t xml:space="preserve"> הנתבע הוא שפנה בשנת 2025 לבית המשפט בבקשה להרחיק ממנו את התובעת. מי שמבקש צו שירחיק ממנו את אשתו אינו יכול לטעון ברצינות לרצון בשלום בית.</w:t>
      </w:r>
    </w:p>
    <w:p>
      <w:pPr>
        <w:pStyle w:val="ListParagraph"/>
        <w:numPr>
          <w:ilvl w:val="0"/>
          <w:numId w:val="2"/>
        </w:numPr>
        <w:bidi/>
        <w:spacing w:after="120" w:line="360" w:lineRule="auto"/>
        <w:jc w:val="both"/>
      </w:pPr>
      <w:r>
        <w:rPr>
          <w:rFonts w:ascii="David" w:cs="David" w:eastAsia="David" w:hAnsi="David"/>
          <w:sz w:val="24"/>
          <w:szCs w:val="24"/>
          <w:rtl/>
        </w:rPr>
        <w:t xml:space="preserve">לאור כל האמור, מתבקש בית הדין הנכבד לחייב את הנתבע ליתן לתובעת גט פיטורין לאלתר.</w:t>
      </w:r>
    </w:p>
    <w:p>
      <w:pPr>
        <w:keepNext/>
        <w:bidi/>
        <w:spacing w:after="120" w:before="240" w:line="360" w:lineRule="auto"/>
        <w:jc w:val="start"/>
      </w:pPr>
      <w:r>
        <w:rPr>
          <w:rFonts w:ascii="David" w:cs="David" w:eastAsia="David" w:hAnsi="David"/>
          <w:b/>
          <w:bCs/>
          <w:sz w:val="24"/>
          <w:szCs w:val="24"/>
          <w:u w:val="single"/>
          <w:rtl/>
        </w:rPr>
        <w:t xml:space="preserve">ד. כריכת העניינים</w:t>
      </w:r>
    </w:p>
    <w:p>
      <w:pPr>
        <w:pStyle w:val="ListParagraph"/>
        <w:numPr>
          <w:ilvl w:val="0"/>
          <w:numId w:val="2"/>
        </w:numPr>
        <w:bidi/>
        <w:spacing w:after="120" w:line="360" w:lineRule="auto"/>
        <w:jc w:val="both"/>
      </w:pPr>
      <w:r>
        <w:rPr>
          <w:rFonts w:ascii="David" w:cs="David" w:eastAsia="David" w:hAnsi="David"/>
          <w:sz w:val="24"/>
          <w:szCs w:val="24"/>
          <w:rtl/>
        </w:rPr>
        <w:t xml:space="preserve">בהתאם לסעיף 3 לחוק שיפוט בתי דין רבניים (נישואין וגירושין), התשי"ג-1953, משהוגשה לבית הדין הרבני תביעת גירושין, בית הדין מוסמך לדון בכל עניין הכרוך בתביעת הגירושין.</w:t>
      </w:r>
    </w:p>
    <w:p>
      <w:pPr>
        <w:pStyle w:val="ListParagraph"/>
        <w:numPr>
          <w:ilvl w:val="0"/>
          <w:numId w:val="2"/>
        </w:numPr>
        <w:bidi/>
        <w:spacing w:after="120" w:line="360" w:lineRule="auto"/>
        <w:jc w:val="both"/>
      </w:pPr>
      <w:r>
        <w:rPr>
          <w:rFonts w:ascii="David" w:cs="David" w:eastAsia="David" w:hAnsi="David"/>
          <w:sz w:val="24"/>
          <w:szCs w:val="24"/>
          <w:rtl/>
        </w:rPr>
        <w:t xml:space="preserve">התובעת כורכת בזאת במפורש בתביעת הגירושין את העניינים הבאים, ואותם בלבד:</w:t>
      </w:r>
    </w:p>
    <w:p>
      <w:pPr>
        <w:pStyle w:val="ListParagraph"/>
        <w:numPr>
          <w:ilvl w:val="1"/>
          <w:numId w:val="2"/>
        </w:numPr>
        <w:bidi/>
        <w:spacing w:after="120" w:line="360" w:lineRule="auto"/>
        <w:jc w:val="both"/>
      </w:pPr>
      <w:r>
        <w:rPr>
          <w:rFonts w:ascii="David" w:cs="David" w:eastAsia="David" w:hAnsi="David"/>
          <w:sz w:val="24"/>
          <w:szCs w:val="24"/>
          <w:rtl/>
        </w:rPr>
        <w:t xml:space="preserve">פירוק השיתוף בדירה, לרבות מינוי כונס נכסים, מכירת הדירה, פינויה וחלוקת התמורה (פרק ה' להלן).</w:t>
      </w:r>
    </w:p>
    <w:p>
      <w:pPr>
        <w:pStyle w:val="ListParagraph"/>
        <w:numPr>
          <w:ilvl w:val="1"/>
          <w:numId w:val="2"/>
        </w:numPr>
        <w:bidi/>
        <w:spacing w:after="120" w:line="360" w:lineRule="auto"/>
        <w:jc w:val="both"/>
      </w:pPr>
      <w:r>
        <w:rPr>
          <w:rFonts w:ascii="David" w:cs="David" w:eastAsia="David" w:hAnsi="David"/>
          <w:sz w:val="24"/>
          <w:szCs w:val="24"/>
          <w:rtl/>
        </w:rPr>
        <w:t xml:space="preserve">חיוב הנתבע בדמי שימוש ראויים בגין שימושו הבלעדי בדירה (פרק ו' להלן).</w:t>
      </w:r>
    </w:p>
    <w:p>
      <w:pPr>
        <w:pStyle w:val="ListParagraph"/>
        <w:numPr>
          <w:ilvl w:val="0"/>
          <w:numId w:val="2"/>
        </w:numPr>
        <w:bidi/>
        <w:spacing w:after="120" w:line="360" w:lineRule="auto"/>
        <w:jc w:val="both"/>
      </w:pPr>
      <w:r>
        <w:rPr>
          <w:rFonts w:ascii="David" w:cs="David" w:eastAsia="David" w:hAnsi="David"/>
          <w:sz w:val="24"/>
          <w:szCs w:val="24"/>
          <w:rtl/>
        </w:rPr>
        <w:t xml:space="preserve">הכריכה כנה וכדין: התובעת היא שיזמה את הליך הגירושין, היא מבקשת את הגט ברצינות ובכנות לאחר כשבע שנות פירוד, והעניינים הכרוכים מפורטים בכתב תביעה זה במפורש ובפירוט מלא.</w:t>
      </w:r>
    </w:p>
    <w:p>
      <w:pPr>
        <w:pStyle w:val="ListParagraph"/>
        <w:numPr>
          <w:ilvl w:val="0"/>
          <w:numId w:val="2"/>
        </w:numPr>
        <w:bidi/>
        <w:spacing w:after="120" w:line="360" w:lineRule="auto"/>
        <w:jc w:val="both"/>
      </w:pPr>
      <w:r>
        <w:rPr>
          <w:rFonts w:ascii="David" w:cs="David" w:eastAsia="David" w:hAnsi="David"/>
          <w:sz w:val="24"/>
          <w:szCs w:val="24"/>
          <w:rtl/>
        </w:rPr>
        <w:t xml:space="preserve">כל העניינים שלא נכרכו במפורש בתביעה זו, לרבות תביעה לכתובה ולתוספת כתובה ותביעה לאיזון משאבים, אינם נכרכים בה, והתובעת שומרת על מלוא זכויותיה וטענותיה בקשר אליהם לפני הערכאה המוסמכת.</w:t>
      </w:r>
    </w:p>
    <w:p>
      <w:pPr>
        <w:keepNext/>
        <w:bidi/>
        <w:spacing w:after="120" w:before="240" w:line="360" w:lineRule="auto"/>
        <w:jc w:val="start"/>
      </w:pPr>
      <w:r>
        <w:rPr>
          <w:rFonts w:ascii="David" w:cs="David" w:eastAsia="David" w:hAnsi="David"/>
          <w:b/>
          <w:bCs/>
          <w:sz w:val="24"/>
          <w:szCs w:val="24"/>
          <w:u w:val="single"/>
          <w:rtl/>
        </w:rPr>
        <w:t xml:space="preserve">ה. פירוק השיתוף בדירה</w:t>
      </w:r>
    </w:p>
    <w:p>
      <w:pPr>
        <w:pStyle w:val="ListParagraph"/>
        <w:numPr>
          <w:ilvl w:val="0"/>
          <w:numId w:val="2"/>
        </w:numPr>
        <w:bidi/>
        <w:spacing w:after="120" w:line="360" w:lineRule="auto"/>
        <w:jc w:val="both"/>
      </w:pPr>
      <w:r>
        <w:rPr>
          <w:rFonts w:ascii="David" w:cs="David" w:eastAsia="David" w:hAnsi="David"/>
          <w:sz w:val="24"/>
          <w:szCs w:val="24"/>
          <w:rtl/>
        </w:rPr>
        <w:t xml:space="preserve">לפי סעיף 37(א) לחוק המקרקעין, התשכ"ט-1969, כל שותף במקרקעין זכאי בכל עת לדרוש את פירוק השיתוף. התובעת עומדת על זכותה זו.</w:t>
      </w:r>
    </w:p>
    <w:p>
      <w:pPr>
        <w:pStyle w:val="ListParagraph"/>
        <w:numPr>
          <w:ilvl w:val="0"/>
          <w:numId w:val="2"/>
        </w:numPr>
        <w:bidi/>
        <w:spacing w:after="120" w:line="360" w:lineRule="auto"/>
        <w:jc w:val="both"/>
      </w:pPr>
      <w:r>
        <w:rPr>
          <w:rFonts w:ascii="David" w:cs="David" w:eastAsia="David" w:hAnsi="David"/>
          <w:sz w:val="24"/>
          <w:szCs w:val="24"/>
          <w:rtl/>
        </w:rPr>
        <w:t xml:space="preserve">בעניינים רכושיים בין בני זוג, בית הדין הרבני מחויב להכריע על פי הדין האזרחי החל (בג"ץ 1000/92 </w:t>
      </w:r>
      <w:r>
        <w:rPr>
          <w:rFonts w:ascii="David" w:cs="David" w:eastAsia="David" w:hAnsi="David"/>
          <w:b/>
          <w:bCs/>
          <w:sz w:val="24"/>
          <w:szCs w:val="24"/>
          <w:rtl/>
        </w:rPr>
        <w:t xml:space="preserve">בבלי נ' בית הדין הרבני הגדול</w:t>
      </w:r>
      <w:r>
        <w:rPr>
          <w:rFonts w:ascii="David" w:cs="David" w:eastAsia="David" w:hAnsi="David"/>
          <w:sz w:val="24"/>
          <w:szCs w:val="24"/>
          <w:rtl/>
        </w:rPr>
        <w:t xml:space="preserve">, פ"ד מח(2) 221). משכך, יחולו על פירוק השיתוף בדירה הוראות חוק המקרקעין.</w:t>
      </w:r>
    </w:p>
    <w:p>
      <w:pPr>
        <w:pStyle w:val="ListParagraph"/>
        <w:numPr>
          <w:ilvl w:val="0"/>
          <w:numId w:val="2"/>
        </w:numPr>
        <w:bidi/>
        <w:spacing w:after="120" w:line="360" w:lineRule="auto"/>
        <w:jc w:val="both"/>
      </w:pPr>
      <w:r>
        <w:rPr>
          <w:rFonts w:ascii="David" w:cs="David" w:eastAsia="David" w:hAnsi="David"/>
          <w:sz w:val="24"/>
          <w:szCs w:val="24"/>
          <w:rtl/>
        </w:rPr>
        <w:t xml:space="preserve">הדירה היא דירת מגורים אחת, שאינה ניתנת לחלוקה בעין. לפיכך יש להורות על פירוק השיתוף בדרך של מכירת הדירה וחלוקת התמורה בין הצדדים, בהתאם לסעיפים 39 ו-40 לחוק המקרקעין.</w:t>
      </w:r>
    </w:p>
    <w:p>
      <w:pPr>
        <w:pStyle w:val="ListParagraph"/>
        <w:numPr>
          <w:ilvl w:val="0"/>
          <w:numId w:val="2"/>
        </w:numPr>
        <w:bidi/>
        <w:spacing w:after="120" w:line="360" w:lineRule="auto"/>
        <w:jc w:val="both"/>
      </w:pPr>
      <w:r>
        <w:rPr>
          <w:rFonts w:ascii="David" w:cs="David" w:eastAsia="David" w:hAnsi="David"/>
          <w:sz w:val="24"/>
          <w:szCs w:val="24"/>
          <w:rtl/>
        </w:rPr>
        <w:t xml:space="preserve">אין כל הצדקה לעכב את הפירוק: כל ילדי הצדדים בגירים, הנתבע מתגורר בדירה לבדו, והותרת המצב הקיים על כנו פירושה המשך ניצול חלקה של התובעת, בעוד היא עצמה נותרת ללא בית משלה.</w:t>
      </w:r>
    </w:p>
    <w:p>
      <w:pPr>
        <w:pStyle w:val="ListParagraph"/>
        <w:numPr>
          <w:ilvl w:val="0"/>
          <w:numId w:val="2"/>
        </w:numPr>
        <w:bidi/>
        <w:spacing w:after="120" w:line="360" w:lineRule="auto"/>
        <w:jc w:val="both"/>
      </w:pPr>
      <w:r>
        <w:rPr>
          <w:rFonts w:ascii="David" w:cs="David" w:eastAsia="David" w:hAnsi="David"/>
          <w:sz w:val="24"/>
          <w:szCs w:val="24"/>
          <w:rtl/>
        </w:rPr>
        <w:t xml:space="preserve">התובעת לא תתנגד לכך שמי מהצדדים ירכוש את חלקו של רעהו בדירה, לפי שוויה כפי שייקבע על ידי שמאי מקרקעין שימונה על ידי בית הדין, ובלבד שהתמורה תשולם במלואה בתוך </w:t>
      </w:r>
      <w:r>
        <w:rPr>
          <w:rFonts w:ascii="David" w:cs="David" w:eastAsia="David" w:hAnsi="David"/>
          <w:sz w:val="24"/>
          <w:szCs w:val="24"/>
          <w:highlight w:val="yellow"/>
          <w:highlightCs w:val="yellow"/>
          <w:rtl/>
        </w:rPr>
        <w:t xml:space="preserve">[60]</w:t>
      </w:r>
      <w:r>
        <w:rPr>
          <w:rFonts w:ascii="David" w:cs="David" w:eastAsia="David" w:hAnsi="David"/>
          <w:sz w:val="24"/>
          <w:szCs w:val="24"/>
          <w:rtl/>
        </w:rPr>
        <w:t xml:space="preserve"> ימים ממועד מסירת חוות דעת השמאי. בהיעדר רכישה כאמור, תימכר הדירה בשוק החופשי באמצעות כונס נכסים.</w:t>
      </w:r>
    </w:p>
    <w:p>
      <w:pPr>
        <w:pStyle w:val="ListParagraph"/>
        <w:numPr>
          <w:ilvl w:val="0"/>
          <w:numId w:val="2"/>
        </w:numPr>
        <w:bidi/>
        <w:spacing w:after="120" w:line="360" w:lineRule="auto"/>
        <w:jc w:val="both"/>
      </w:pPr>
      <w:r>
        <w:rPr>
          <w:rFonts w:ascii="David" w:cs="David" w:eastAsia="David" w:hAnsi="David"/>
          <w:sz w:val="24"/>
          <w:szCs w:val="24"/>
          <w:rtl/>
        </w:rPr>
        <w:t xml:space="preserve">התובעת מבקשת כי באי כוח הצדדים, או מי שיקבע בית הדין, ימונו ככונסי נכסים לצורך מכירת הדירה, וכי יוסמכו לבצע כל פעולה הדרושה לשם כך, לרבות פרסום, הצגת הדירה לרוכשים, ניהול משא ומתן, חתימה על הסכם מכר ורישום הזכויות על שם הרוכש.</w:t>
      </w:r>
    </w:p>
    <w:p>
      <w:pPr>
        <w:pStyle w:val="ListParagraph"/>
        <w:numPr>
          <w:ilvl w:val="0"/>
          <w:numId w:val="2"/>
        </w:numPr>
        <w:bidi/>
        <w:spacing w:after="120" w:line="360" w:lineRule="auto"/>
        <w:jc w:val="both"/>
      </w:pPr>
      <w:r>
        <w:rPr>
          <w:rFonts w:ascii="David" w:cs="David" w:eastAsia="David" w:hAnsi="David"/>
          <w:sz w:val="24"/>
          <w:szCs w:val="24"/>
          <w:rtl/>
        </w:rPr>
        <w:t xml:space="preserve">כן מתבקש בית הדין להורות לנתבע לאפשר לכונסי הנכסים, לשמאי ולרוכשים פוטנציאליים גישה לדירה, ולפנות את הדירה ולמסרה לכונסי הנכסים או לרוכש כשהיא פנויה מכל אדם וחפץ, במועד שייקבע.</w:t>
      </w:r>
    </w:p>
    <w:p>
      <w:pPr>
        <w:pStyle w:val="ListParagraph"/>
        <w:numPr>
          <w:ilvl w:val="0"/>
          <w:numId w:val="2"/>
        </w:numPr>
        <w:bidi/>
        <w:spacing w:after="120" w:line="360" w:lineRule="auto"/>
        <w:jc w:val="both"/>
      </w:pPr>
      <w:r>
        <w:rPr>
          <w:rFonts w:ascii="David" w:cs="David" w:eastAsia="David" w:hAnsi="David"/>
          <w:sz w:val="24"/>
          <w:szCs w:val="24"/>
          <w:rtl/>
        </w:rPr>
        <w:t xml:space="preserve">תמורת המכירה תחולק בין הצדדים בחלקים שווים, לאחר </w:t>
      </w:r>
      <w:r>
        <w:rPr>
          <w:rFonts w:ascii="David" w:cs="David" w:eastAsia="David" w:hAnsi="David"/>
          <w:sz w:val="24"/>
          <w:szCs w:val="24"/>
          <w:highlight w:val="yellow"/>
          <w:highlightCs w:val="yellow"/>
          <w:rtl/>
        </w:rPr>
        <w:t xml:space="preserve">[סילוק יתרת המשכנתא,]</w:t>
      </w:r>
      <w:r>
        <w:rPr>
          <w:rFonts w:ascii="David" w:cs="David" w:eastAsia="David" w:hAnsi="David"/>
          <w:sz w:val="24"/>
          <w:szCs w:val="24"/>
          <w:rtl/>
        </w:rPr>
        <w:t xml:space="preserve"> תשלום הוצאות המכירה ושכר כונסי הנכסים, ולאחר קיזוז דמי השימוש הראויים שייפסקו לטובת התובעת מחלקו של הנתבע.</w:t>
      </w:r>
    </w:p>
    <w:p>
      <w:pPr>
        <w:keepNext/>
        <w:bidi/>
        <w:spacing w:after="120" w:before="240" w:line="360" w:lineRule="auto"/>
        <w:jc w:val="start"/>
      </w:pPr>
      <w:r>
        <w:rPr>
          <w:rFonts w:ascii="David" w:cs="David" w:eastAsia="David" w:hAnsi="David"/>
          <w:b/>
          <w:bCs/>
          <w:sz w:val="24"/>
          <w:szCs w:val="24"/>
          <w:u w:val="single"/>
          <w:rtl/>
        </w:rPr>
        <w:t xml:space="preserve">ו. דמי שימוש ראויים</w:t>
      </w:r>
    </w:p>
    <w:p>
      <w:pPr>
        <w:pStyle w:val="ListParagraph"/>
        <w:numPr>
          <w:ilvl w:val="0"/>
          <w:numId w:val="2"/>
        </w:numPr>
        <w:bidi/>
        <w:spacing w:after="120" w:line="360" w:lineRule="auto"/>
        <w:jc w:val="both"/>
      </w:pPr>
      <w:r>
        <w:rPr>
          <w:rFonts w:ascii="David" w:cs="David" w:eastAsia="David" w:hAnsi="David"/>
          <w:sz w:val="24"/>
          <w:szCs w:val="24"/>
          <w:rtl/>
        </w:rPr>
        <w:t xml:space="preserve">סעיף 33 לחוק המקרקעין קובע כי שותף המשתמש במקרקעין המשותפים חייב לשאר השותפים שכר ראוי בעד שימושו, אלא אם נקבע אחרת בהסכם השיתוף. בין הצדדים לא נקבע כל הסכם אחר.</w:t>
      </w:r>
    </w:p>
    <w:p>
      <w:pPr>
        <w:pStyle w:val="ListParagraph"/>
        <w:numPr>
          <w:ilvl w:val="0"/>
          <w:numId w:val="2"/>
        </w:numPr>
        <w:bidi/>
        <w:spacing w:after="120" w:line="360" w:lineRule="auto"/>
        <w:jc w:val="both"/>
      </w:pPr>
      <w:r>
        <w:rPr>
          <w:rFonts w:ascii="David" w:cs="David" w:eastAsia="David" w:hAnsi="David"/>
          <w:sz w:val="24"/>
          <w:szCs w:val="24"/>
          <w:rtl/>
        </w:rPr>
        <w:t xml:space="preserve">הנתבע עושה שימוש בלעדי בדירה כולה, לרבות במחצית השייכת לתובעת, מזה כשבע שנים, ולא שילם לה דבר.</w:t>
      </w:r>
    </w:p>
    <w:p>
      <w:pPr>
        <w:pStyle w:val="ListParagraph"/>
        <w:numPr>
          <w:ilvl w:val="0"/>
          <w:numId w:val="2"/>
        </w:numPr>
        <w:bidi/>
        <w:spacing w:after="120" w:line="360" w:lineRule="auto"/>
        <w:jc w:val="both"/>
      </w:pPr>
      <w:r>
        <w:rPr>
          <w:rFonts w:ascii="David" w:cs="David" w:eastAsia="David" w:hAnsi="David"/>
          <w:sz w:val="24"/>
          <w:szCs w:val="24"/>
          <w:rtl/>
        </w:rPr>
        <w:t xml:space="preserve">אין מדובר בשותפה שבחרה מרצונה שלא לעשות שימוש בנכס. התובעת עזבה את הדירה מפני אלימות הנתבע, והנתבע מצדו פעל להנציח את הרחקתה: הוא הרחיק מן הדירה גם את ילדי הצדדים, ובשנת 2025 אף פנה לבית המשפט בבקשה להרחיק ממנו את התובעת. בנסיבות אלה, התובעת הודרה מן הדירה בפועל, והנתבע חייב בדמי שימוש ראויים בגין חלקה.</w:t>
      </w:r>
    </w:p>
    <w:p>
      <w:pPr>
        <w:pStyle w:val="ListParagraph"/>
        <w:numPr>
          <w:ilvl w:val="0"/>
          <w:numId w:val="2"/>
        </w:numPr>
        <w:bidi/>
        <w:spacing w:after="120" w:line="360" w:lineRule="auto"/>
        <w:jc w:val="both"/>
      </w:pPr>
      <w:r>
        <w:rPr>
          <w:rFonts w:ascii="David" w:cs="David" w:eastAsia="David" w:hAnsi="David"/>
          <w:sz w:val="24"/>
          <w:szCs w:val="24"/>
          <w:rtl/>
        </w:rPr>
        <w:t xml:space="preserve">אין לנתבע כל טענת התיישנות: לפי סעיף 14 לחוק ההתיישנות, התשי"ח-1958, בתובענה של אדם נגד בן זוגו אין באה במניין תקופת ההתיישנות התקופה שבה היו נשואים.</w:t>
      </w:r>
    </w:p>
    <w:p>
      <w:pPr>
        <w:pStyle w:val="ListParagraph"/>
        <w:numPr>
          <w:ilvl w:val="0"/>
          <w:numId w:val="2"/>
        </w:numPr>
        <w:bidi/>
        <w:spacing w:after="120" w:line="360" w:lineRule="auto"/>
        <w:jc w:val="both"/>
      </w:pPr>
      <w:r>
        <w:rPr>
          <w:rFonts w:ascii="David" w:cs="David" w:eastAsia="David" w:hAnsi="David"/>
          <w:sz w:val="24"/>
          <w:szCs w:val="24"/>
          <w:rtl/>
        </w:rPr>
        <w:t xml:space="preserve">לפי הערכת התובעת, דמי השכירות הראויים לדירה עומדים על כ-</w:t>
      </w:r>
      <w:r>
        <w:rPr>
          <w:rFonts w:ascii="David" w:cs="David" w:eastAsia="David" w:hAnsi="David"/>
          <w:sz w:val="24"/>
          <w:szCs w:val="24"/>
          <w:highlight w:val="yellow"/>
          <w:highlightCs w:val="yellow"/>
          <w:rtl/>
        </w:rPr>
        <w:t xml:space="preserve">[_______]</w:t>
      </w:r>
      <w:r>
        <w:rPr>
          <w:rFonts w:ascii="David" w:cs="David" w:eastAsia="David" w:hAnsi="David"/>
          <w:sz w:val="24"/>
          <w:szCs w:val="24"/>
          <w:rtl/>
        </w:rPr>
        <w:t xml:space="preserve"> ש"ח לחודש, ומכאן שחלקה של התובעת עומד על כ-</w:t>
      </w:r>
      <w:r>
        <w:rPr>
          <w:rFonts w:ascii="David" w:cs="David" w:eastAsia="David" w:hAnsi="David"/>
          <w:sz w:val="24"/>
          <w:szCs w:val="24"/>
          <w:highlight w:val="yellow"/>
          <w:highlightCs w:val="yellow"/>
          <w:rtl/>
        </w:rPr>
        <w:t xml:space="preserve">[_______]</w:t>
      </w:r>
      <w:r>
        <w:rPr>
          <w:rFonts w:ascii="David" w:cs="David" w:eastAsia="David" w:hAnsi="David"/>
          <w:sz w:val="24"/>
          <w:szCs w:val="24"/>
          <w:rtl/>
        </w:rPr>
        <w:t xml:space="preserve"> ש"ח לחודש. בגין התקופה שמחודש </w:t>
      </w:r>
      <w:r>
        <w:rPr>
          <w:rFonts w:ascii="David" w:cs="David" w:eastAsia="David" w:hAnsi="David"/>
          <w:sz w:val="24"/>
          <w:szCs w:val="24"/>
          <w:highlight w:val="yellow"/>
          <w:highlightCs w:val="yellow"/>
          <w:rtl/>
        </w:rPr>
        <w:t xml:space="preserve">[_______]</w:t>
      </w:r>
      <w:r>
        <w:rPr>
          <w:rFonts w:ascii="David" w:cs="David" w:eastAsia="David" w:hAnsi="David"/>
          <w:sz w:val="24"/>
          <w:szCs w:val="24"/>
          <w:rtl/>
        </w:rPr>
        <w:t xml:space="preserve"> (מועד עזיבתה) ועד הגשת התביעה, </w:t>
      </w:r>
      <w:r>
        <w:rPr>
          <w:rFonts w:ascii="David" w:cs="David" w:eastAsia="David" w:hAnsi="David"/>
          <w:sz w:val="24"/>
          <w:szCs w:val="24"/>
          <w:highlight w:val="yellow"/>
          <w:highlightCs w:val="yellow"/>
          <w:rtl/>
        </w:rPr>
        <w:t xml:space="preserve">[___]</w:t>
      </w:r>
      <w:r>
        <w:rPr>
          <w:rFonts w:ascii="David" w:cs="David" w:eastAsia="David" w:hAnsi="David"/>
          <w:sz w:val="24"/>
          <w:szCs w:val="24"/>
          <w:rtl/>
        </w:rPr>
        <w:t xml:space="preserve"> חודשים, מגיע לתובעת סך של כ-</w:t>
      </w:r>
      <w:r>
        <w:rPr>
          <w:rFonts w:ascii="David" w:cs="David" w:eastAsia="David" w:hAnsi="David"/>
          <w:sz w:val="24"/>
          <w:szCs w:val="24"/>
          <w:highlight w:val="yellow"/>
          <w:highlightCs w:val="yellow"/>
          <w:rtl/>
        </w:rPr>
        <w:t xml:space="preserve">[_______]</w:t>
      </w:r>
      <w:r>
        <w:rPr>
          <w:rFonts w:ascii="David" w:cs="David" w:eastAsia="David" w:hAnsi="David"/>
          <w:sz w:val="24"/>
          <w:szCs w:val="24"/>
          <w:rtl/>
        </w:rPr>
        <w:t xml:space="preserve"> ש"ח, בצירוף הפרשי הצמדה וריבית כדין.</w:t>
      </w:r>
    </w:p>
    <w:p>
      <w:pPr>
        <w:pStyle w:val="ListParagraph"/>
        <w:numPr>
          <w:ilvl w:val="0"/>
          <w:numId w:val="2"/>
        </w:numPr>
        <w:bidi/>
        <w:spacing w:after="120" w:line="360" w:lineRule="auto"/>
        <w:jc w:val="both"/>
      </w:pPr>
      <w:r>
        <w:rPr>
          <w:rFonts w:ascii="David" w:cs="David" w:eastAsia="David" w:hAnsi="David"/>
          <w:sz w:val="24"/>
          <w:szCs w:val="24"/>
          <w:rtl/>
        </w:rPr>
        <w:t xml:space="preserve">התובעת עותרת לחייב את הנתבע בדמי שימוש ראויים ממועד עזיבתה את הדירה ועד למועד פינויה ומכירתה בפועל, בשיעור מחצית דמי השכירות הראויים, כפי שייקבעו על ידי שמאי. לחלופין, ולמען הזהירות בלבד, מתבקש בית הדין לחייב את הנתבע בדמי שימוש ראויים לכל הפחות ממועד הגשת תביעה זו.</w:t>
      </w:r>
    </w:p>
    <w:p>
      <w:pPr>
        <w:pStyle w:val="ListParagraph"/>
        <w:numPr>
          <w:ilvl w:val="0"/>
          <w:numId w:val="2"/>
        </w:numPr>
        <w:bidi/>
        <w:spacing w:after="120" w:line="360" w:lineRule="auto"/>
        <w:jc w:val="both"/>
      </w:pPr>
      <w:r>
        <w:rPr>
          <w:rFonts w:ascii="David" w:cs="David" w:eastAsia="David" w:hAnsi="David"/>
          <w:sz w:val="24"/>
          <w:szCs w:val="24"/>
          <w:rtl/>
        </w:rPr>
        <w:t xml:space="preserve">כמו כן, כמי שעושה שימוש בלעדי בדירה, יישא הנתבע לבדו בכל ההוצאות השוטפות הנובעות מהשימוש בה, לרבות ארנונה, ועד בית, מים, חשמל וגז, וזאת עד למועד פינוי הדירה.</w:t>
      </w:r>
    </w:p>
    <w:p>
      <w:pPr>
        <w:keepNext/>
        <w:bidi/>
        <w:spacing w:after="120" w:before="240" w:line="360" w:lineRule="auto"/>
        <w:jc w:val="start"/>
      </w:pPr>
      <w:r>
        <w:rPr>
          <w:rFonts w:ascii="David" w:cs="David" w:eastAsia="David" w:hAnsi="David"/>
          <w:b/>
          <w:bCs/>
          <w:sz w:val="24"/>
          <w:szCs w:val="24"/>
          <w:u w:val="single"/>
          <w:rtl/>
        </w:rPr>
        <w:t xml:space="preserve">ז. בקשות לעניין ראיות</w:t>
      </w:r>
    </w:p>
    <w:p>
      <w:pPr>
        <w:pStyle w:val="ListParagraph"/>
        <w:numPr>
          <w:ilvl w:val="0"/>
          <w:numId w:val="2"/>
        </w:numPr>
        <w:bidi/>
        <w:spacing w:after="120" w:line="360" w:lineRule="auto"/>
        <w:jc w:val="both"/>
      </w:pPr>
      <w:r>
        <w:rPr>
          <w:rFonts w:ascii="David" w:cs="David" w:eastAsia="David" w:hAnsi="David"/>
          <w:sz w:val="24"/>
          <w:szCs w:val="24"/>
          <w:rtl/>
        </w:rPr>
        <w:t xml:space="preserve">לצורך הוכחת טענות התובעת בעניין האלימות, מתבקש בית הדין הנכבד להורות למחלקה לשירותים חברתיים ב</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להעביר לעיונו את הרישומים הנוגעים לפניית התובעת, או להגיש תסקיר בעניין. התובעת מוותרת בזאת על החיסיון החל על רישומים אלה, ככל שהוא נוגע לה.</w:t>
      </w:r>
    </w:p>
    <w:p>
      <w:pPr>
        <w:pStyle w:val="ListParagraph"/>
        <w:numPr>
          <w:ilvl w:val="0"/>
          <w:numId w:val="2"/>
        </w:numPr>
        <w:bidi/>
        <w:spacing w:after="120" w:line="360" w:lineRule="auto"/>
        <w:jc w:val="both"/>
      </w:pPr>
      <w:r>
        <w:rPr>
          <w:rFonts w:ascii="David" w:cs="David" w:eastAsia="David" w:hAnsi="David"/>
          <w:sz w:val="24"/>
          <w:szCs w:val="24"/>
          <w:rtl/>
        </w:rPr>
        <w:t xml:space="preserve">כן מתבקש בית הדין להורות על מינוי שמאי מקרקעין מכריע, שיעריך הן את שווי הדירה והן את דמי השכירות הראויים בגינה לאורך תקופת התביעה, ולהורות כי שכרו ישולם </w:t>
      </w:r>
      <w:r>
        <w:rPr>
          <w:rFonts w:ascii="David" w:cs="David" w:eastAsia="David" w:hAnsi="David"/>
          <w:sz w:val="24"/>
          <w:szCs w:val="24"/>
          <w:highlight w:val="yellow"/>
          <w:highlightCs w:val="yellow"/>
          <w:rtl/>
        </w:rPr>
        <w:t xml:space="preserve">[על ידי הנתבע / בחלקים שווים, בכפוף להחלטה בדבר ההוצאות]</w:t>
      </w:r>
      <w:r>
        <w:rPr>
          <w:rFonts w:ascii="David" w:cs="David" w:eastAsia="David" w:hAnsi="David"/>
          <w:sz w:val="24"/>
          <w:szCs w:val="24"/>
          <w:rtl/>
        </w:rPr>
        <w:t xml:space="preserve">.</w:t>
      </w:r>
    </w:p>
    <w:p>
      <w:pPr>
        <w:keepNext/>
        <w:bidi/>
        <w:spacing w:after="120" w:before="240" w:line="360" w:lineRule="auto"/>
        <w:jc w:val="start"/>
      </w:pPr>
      <w:r>
        <w:rPr>
          <w:rFonts w:ascii="David" w:cs="David" w:eastAsia="David" w:hAnsi="David"/>
          <w:b/>
          <w:bCs/>
          <w:sz w:val="24"/>
          <w:szCs w:val="24"/>
          <w:u w:val="single"/>
          <w:rtl/>
        </w:rPr>
        <w:t xml:space="preserve">ח. סמכות והליך מקדים</w:t>
      </w:r>
    </w:p>
    <w:p>
      <w:pPr>
        <w:pStyle w:val="ListParagraph"/>
        <w:numPr>
          <w:ilvl w:val="0"/>
          <w:numId w:val="2"/>
        </w:numPr>
        <w:bidi/>
        <w:spacing w:after="120" w:line="360" w:lineRule="auto"/>
        <w:jc w:val="both"/>
      </w:pPr>
      <w:r>
        <w:rPr>
          <w:rFonts w:ascii="David" w:cs="David" w:eastAsia="David" w:hAnsi="David"/>
          <w:sz w:val="24"/>
          <w:szCs w:val="24"/>
          <w:rtl/>
        </w:rPr>
        <w:t xml:space="preserve">לבית הדין הנכבד הסמכות העניינית לדון בתביעה, לפי סעיפים 1 ו-3 לחוק שיפוט בתי דין רבניים (נישואין וגירושין), התשי"ג-1953, שכן הצדדים יהודים שנישאו כדת משה וישראל, ותביעת הגירושין והעניינים הכרוכים בה הוגשו לבית הדין.</w:t>
      </w:r>
    </w:p>
    <w:p>
      <w:pPr>
        <w:pStyle w:val="ListParagraph"/>
        <w:numPr>
          <w:ilvl w:val="0"/>
          <w:numId w:val="2"/>
        </w:numPr>
        <w:bidi/>
        <w:spacing w:after="120" w:line="360" w:lineRule="auto"/>
        <w:jc w:val="both"/>
      </w:pPr>
      <w:r>
        <w:rPr>
          <w:rFonts w:ascii="David" w:cs="David" w:eastAsia="David" w:hAnsi="David"/>
          <w:sz w:val="24"/>
          <w:szCs w:val="24"/>
          <w:rtl/>
        </w:rPr>
        <w:t xml:space="preserve">לבית הדין הנכבד הסמכות המקומית לדון בתביעה, שכן </w:t>
      </w:r>
      <w:r>
        <w:rPr>
          <w:rFonts w:ascii="David" w:cs="David" w:eastAsia="David" w:hAnsi="David"/>
          <w:sz w:val="24"/>
          <w:szCs w:val="24"/>
          <w:highlight w:val="yellow"/>
          <w:highlightCs w:val="yellow"/>
          <w:rtl/>
        </w:rPr>
        <w:t xml:space="preserve">[מקום מגוריו של הנתבע / מקום המגורים המשותף האחרון של הצדדים]</w:t>
      </w:r>
      <w:r>
        <w:rPr>
          <w:rFonts w:ascii="David" w:cs="David" w:eastAsia="David" w:hAnsi="David"/>
          <w:sz w:val="24"/>
          <w:szCs w:val="24"/>
          <w:rtl/>
        </w:rPr>
        <w:t xml:space="preserve"> מצוי בתחום שיפוטו.</w:t>
      </w:r>
    </w:p>
    <w:p>
      <w:pPr>
        <w:pStyle w:val="ListParagraph"/>
        <w:numPr>
          <w:ilvl w:val="0"/>
          <w:numId w:val="2"/>
        </w:numPr>
        <w:bidi/>
        <w:spacing w:after="120" w:line="360" w:lineRule="auto"/>
        <w:jc w:val="both"/>
      </w:pPr>
      <w:r>
        <w:rPr>
          <w:rFonts w:ascii="David" w:cs="David" w:eastAsia="David" w:hAnsi="David"/>
          <w:sz w:val="24"/>
          <w:szCs w:val="24"/>
          <w:rtl/>
        </w:rPr>
        <w:t xml:space="preserve">תביעה זו מוגשת לאחר שהתובעת הגישה בקשה ליישוב סכסוך (תיק מס'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לפי חוק להסדר התדיינויות בסכסוכי משפחה, התשע"ה-2014, ולאחר שתקופת עיכוב ההליכים לפיו הסתיימה. העתק אישור הגשת הבקשה מצורף ומסומן </w:t>
      </w:r>
      <w:r>
        <w:rPr>
          <w:rFonts w:ascii="David" w:cs="David" w:eastAsia="David" w:hAnsi="David"/>
          <w:b/>
          <w:bCs/>
          <w:sz w:val="24"/>
          <w:szCs w:val="24"/>
          <w:rtl/>
        </w:rPr>
        <w:t xml:space="preserve">נספח 4</w:t>
      </w:r>
      <w:r>
        <w:rPr>
          <w:rFonts w:ascii="David" w:cs="David" w:eastAsia="David" w:hAnsi="David"/>
          <w:sz w:val="24"/>
          <w:szCs w:val="24"/>
          <w:rtl/>
        </w:rPr>
        <w:t xml:space="preserve">.</w:t>
      </w:r>
    </w:p>
    <w:p>
      <w:pPr>
        <w:keepNext/>
        <w:bidi/>
        <w:spacing w:after="120" w:before="240" w:line="360" w:lineRule="auto"/>
        <w:jc w:val="start"/>
      </w:pPr>
      <w:r>
        <w:rPr>
          <w:rFonts w:ascii="David" w:cs="David" w:eastAsia="David" w:hAnsi="David"/>
          <w:b/>
          <w:bCs/>
          <w:sz w:val="24"/>
          <w:szCs w:val="24"/>
          <w:u w:val="single"/>
          <w:rtl/>
        </w:rPr>
        <w:t xml:space="preserve">ט. הסעדים המבוקשים</w:t>
      </w:r>
    </w:p>
    <w:p>
      <w:pPr>
        <w:pStyle w:val="ListParagraph"/>
        <w:numPr>
          <w:ilvl w:val="0"/>
          <w:numId w:val="2"/>
        </w:numPr>
        <w:bidi/>
        <w:spacing w:after="120" w:line="360" w:lineRule="auto"/>
        <w:jc w:val="both"/>
      </w:pPr>
      <w:r>
        <w:rPr>
          <w:rFonts w:ascii="David" w:cs="David" w:eastAsia="David" w:hAnsi="David"/>
          <w:sz w:val="24"/>
          <w:szCs w:val="24"/>
          <w:rtl/>
        </w:rPr>
        <w:t xml:space="preserve">אשר על כן, מתבקש בית הדין הנכבד:</w:t>
      </w:r>
    </w:p>
    <w:p>
      <w:pPr>
        <w:pStyle w:val="ListParagraph"/>
        <w:numPr>
          <w:ilvl w:val="1"/>
          <w:numId w:val="2"/>
        </w:numPr>
        <w:bidi/>
        <w:spacing w:after="120" w:line="360" w:lineRule="auto"/>
        <w:jc w:val="both"/>
      </w:pPr>
      <w:r>
        <w:rPr>
          <w:rFonts w:ascii="David" w:cs="David" w:eastAsia="David" w:hAnsi="David"/>
          <w:sz w:val="24"/>
          <w:szCs w:val="24"/>
          <w:rtl/>
        </w:rPr>
        <w:t xml:space="preserve">לחייב את הנתבע ליתן לתובעת גט פיטורין לאלתר.</w:t>
      </w:r>
    </w:p>
    <w:p>
      <w:pPr>
        <w:pStyle w:val="ListParagraph"/>
        <w:numPr>
          <w:ilvl w:val="1"/>
          <w:numId w:val="2"/>
        </w:numPr>
        <w:bidi/>
        <w:spacing w:after="120" w:line="360" w:lineRule="auto"/>
        <w:jc w:val="both"/>
      </w:pPr>
      <w:r>
        <w:rPr>
          <w:rFonts w:ascii="David" w:cs="David" w:eastAsia="David" w:hAnsi="David"/>
          <w:sz w:val="24"/>
          <w:szCs w:val="24"/>
          <w:rtl/>
        </w:rPr>
        <w:t xml:space="preserve">להורות על פירוק השיתוף בדירה ברח'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[עיר]</w:t>
      </w:r>
      <w:r>
        <w:rPr>
          <w:rFonts w:ascii="David" w:cs="David" w:eastAsia="David" w:hAnsi="David"/>
          <w:sz w:val="24"/>
          <w:szCs w:val="24"/>
          <w:rtl/>
        </w:rPr>
        <w:t xml:space="preserve"> (גוש </w:t>
      </w:r>
      <w:r>
        <w:rPr>
          <w:rFonts w:ascii="David" w:cs="David" w:eastAsia="David" w:hAnsi="David"/>
          <w:sz w:val="24"/>
          <w:szCs w:val="24"/>
          <w:highlight w:val="yellow"/>
          <w:highlightCs w:val="yellow"/>
          <w:rtl/>
        </w:rPr>
        <w:t xml:space="preserve">[____]</w:t>
      </w:r>
      <w:r>
        <w:rPr>
          <w:rFonts w:ascii="David" w:cs="David" w:eastAsia="David" w:hAnsi="David"/>
          <w:sz w:val="24"/>
          <w:szCs w:val="24"/>
          <w:rtl/>
        </w:rPr>
        <w:t xml:space="preserve"> חלקה </w:t>
      </w:r>
      <w:r>
        <w:rPr>
          <w:rFonts w:ascii="David" w:cs="David" w:eastAsia="David" w:hAnsi="David"/>
          <w:sz w:val="24"/>
          <w:szCs w:val="24"/>
          <w:highlight w:val="yellow"/>
          <w:highlightCs w:val="yellow"/>
          <w:rtl/>
        </w:rPr>
        <w:t xml:space="preserve">[____]</w:t>
      </w:r>
      <w:r>
        <w:rPr>
          <w:rFonts w:ascii="David" w:cs="David" w:eastAsia="David" w:hAnsi="David"/>
          <w:sz w:val="24"/>
          <w:szCs w:val="24"/>
          <w:rtl/>
        </w:rPr>
        <w:t xml:space="preserve"> תת חלקה </w:t>
      </w:r>
      <w:r>
        <w:rPr>
          <w:rFonts w:ascii="David" w:cs="David" w:eastAsia="David" w:hAnsi="David"/>
          <w:sz w:val="24"/>
          <w:szCs w:val="24"/>
          <w:highlight w:val="yellow"/>
          <w:highlightCs w:val="yellow"/>
          <w:rtl/>
        </w:rPr>
        <w:t xml:space="preserve">[____]</w:t>
      </w:r>
      <w:r>
        <w:rPr>
          <w:rFonts w:ascii="David" w:cs="David" w:eastAsia="David" w:hAnsi="David"/>
          <w:sz w:val="24"/>
          <w:szCs w:val="24"/>
          <w:rtl/>
        </w:rPr>
        <w:t xml:space="preserve">), בדרך של מכירתה, תוך מתן אפשרות לכל אחד מהצדדים לרכוש את חלקו של רעהו לפי שווי שיקבע שמאי, כמפורט בסעיף 27 לעיל.</w:t>
      </w:r>
    </w:p>
    <w:p>
      <w:pPr>
        <w:pStyle w:val="ListParagraph"/>
        <w:numPr>
          <w:ilvl w:val="1"/>
          <w:numId w:val="2"/>
        </w:numPr>
        <w:bidi/>
        <w:spacing w:after="120" w:line="360" w:lineRule="auto"/>
        <w:jc w:val="both"/>
      </w:pPr>
      <w:r>
        <w:rPr>
          <w:rFonts w:ascii="David" w:cs="David" w:eastAsia="David" w:hAnsi="David"/>
          <w:sz w:val="24"/>
          <w:szCs w:val="24"/>
          <w:rtl/>
        </w:rPr>
        <w:t xml:space="preserve">למנות את באי כוח הצדדים, או מי שימצא בית הדין לנכון, ככונסי נכסים לצורך מכירת הדירה, בסמכויות המלאות כמפורט לעיל.</w:t>
      </w:r>
    </w:p>
    <w:p>
      <w:pPr>
        <w:pStyle w:val="ListParagraph"/>
        <w:numPr>
          <w:ilvl w:val="1"/>
          <w:numId w:val="2"/>
        </w:numPr>
        <w:bidi/>
        <w:spacing w:after="120" w:line="360" w:lineRule="auto"/>
        <w:jc w:val="both"/>
      </w:pPr>
      <w:r>
        <w:rPr>
          <w:rFonts w:ascii="David" w:cs="David" w:eastAsia="David" w:hAnsi="David"/>
          <w:sz w:val="24"/>
          <w:szCs w:val="24"/>
          <w:rtl/>
        </w:rPr>
        <w:t xml:space="preserve">להורות לנתבע לאפשר גישה לדירה, ולפנותה ולמסרה כשהיא פנויה מכל אדם וחפץ במועד שייקבע.</w:t>
      </w:r>
    </w:p>
    <w:p>
      <w:pPr>
        <w:pStyle w:val="ListParagraph"/>
        <w:numPr>
          <w:ilvl w:val="1"/>
          <w:numId w:val="2"/>
        </w:numPr>
        <w:bidi/>
        <w:spacing w:after="120" w:line="360" w:lineRule="auto"/>
        <w:jc w:val="both"/>
      </w:pPr>
      <w:r>
        <w:rPr>
          <w:rFonts w:ascii="David" w:cs="David" w:eastAsia="David" w:hAnsi="David"/>
          <w:sz w:val="24"/>
          <w:szCs w:val="24"/>
          <w:rtl/>
        </w:rPr>
        <w:t xml:space="preserve">למנות שמאי מקרקעין מכריע לקביעת שווי הדירה ודמי השכירות הראויים בגינה.</w:t>
      </w:r>
    </w:p>
    <w:p>
      <w:pPr>
        <w:pStyle w:val="ListParagraph"/>
        <w:numPr>
          <w:ilvl w:val="1"/>
          <w:numId w:val="2"/>
        </w:numPr>
        <w:bidi/>
        <w:spacing w:after="120" w:line="360" w:lineRule="auto"/>
        <w:jc w:val="both"/>
      </w:pPr>
      <w:r>
        <w:rPr>
          <w:rFonts w:ascii="David" w:cs="David" w:eastAsia="David" w:hAnsi="David"/>
          <w:sz w:val="24"/>
          <w:szCs w:val="24"/>
          <w:rtl/>
        </w:rPr>
        <w:t xml:space="preserve">לחייב את הנתבע לשלם לתובעת דמי שימוש ראויים בשיעור מחצית דמי השכירות הראויים לדירה, ממועד עזיבתה את הדירה ועד פינויה ומכירתה בפועל, ולחלופין ממועד הגשת התביעה, בצירוף הפרשי הצמדה וריבית כדין, ולהורות על קיזוז הסכום מחלקו של הנתבע בתמורת המכירה.</w:t>
      </w:r>
    </w:p>
    <w:p>
      <w:pPr>
        <w:pStyle w:val="ListParagraph"/>
        <w:numPr>
          <w:ilvl w:val="1"/>
          <w:numId w:val="2"/>
        </w:numPr>
        <w:bidi/>
        <w:spacing w:after="120" w:line="360" w:lineRule="auto"/>
        <w:jc w:val="both"/>
      </w:pPr>
      <w:r>
        <w:rPr>
          <w:rFonts w:ascii="David" w:cs="David" w:eastAsia="David" w:hAnsi="David"/>
          <w:sz w:val="24"/>
          <w:szCs w:val="24"/>
          <w:rtl/>
        </w:rPr>
        <w:t xml:space="preserve">להורות לנתבע לשאת לבדו בכל ההוצאות השוטפות של הדירה עד למועד פינויה.</w:t>
      </w:r>
    </w:p>
    <w:p>
      <w:pPr>
        <w:pStyle w:val="ListParagraph"/>
        <w:numPr>
          <w:ilvl w:val="1"/>
          <w:numId w:val="2"/>
        </w:numPr>
        <w:bidi/>
        <w:spacing w:after="120" w:line="360" w:lineRule="auto"/>
        <w:jc w:val="both"/>
      </w:pPr>
      <w:r>
        <w:rPr>
          <w:rFonts w:ascii="David" w:cs="David" w:eastAsia="David" w:hAnsi="David"/>
          <w:sz w:val="24"/>
          <w:szCs w:val="24"/>
          <w:rtl/>
        </w:rPr>
        <w:t xml:space="preserve">להורות למחלקה לשירותים חברתיים ב</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 להעביר לבית הדין את הרישומים בעניין פניית התובעת, כמפורט בפרק ז' לעיל.</w:t>
      </w:r>
    </w:p>
    <w:p>
      <w:pPr>
        <w:pStyle w:val="ListParagraph"/>
        <w:numPr>
          <w:ilvl w:val="1"/>
          <w:numId w:val="2"/>
        </w:numPr>
        <w:bidi/>
        <w:spacing w:after="120" w:line="360" w:lineRule="auto"/>
        <w:jc w:val="both"/>
      </w:pPr>
      <w:r>
        <w:rPr>
          <w:rFonts w:ascii="David" w:cs="David" w:eastAsia="David" w:hAnsi="David"/>
          <w:sz w:val="24"/>
          <w:szCs w:val="24"/>
          <w:rtl/>
        </w:rPr>
        <w:t xml:space="preserve">לחייב את הנתבע בהוצאות ההליך ובשכר טרחת עורך דין, בצירוף מע"מ כדין.</w:t>
      </w:r>
    </w:p>
    <w:p>
      <w:pPr>
        <w:pStyle w:val="ListParagraph"/>
        <w:numPr>
          <w:ilvl w:val="1"/>
          <w:numId w:val="2"/>
        </w:numPr>
        <w:bidi/>
        <w:spacing w:after="120" w:line="360" w:lineRule="auto"/>
        <w:jc w:val="both"/>
      </w:pPr>
      <w:r>
        <w:rPr>
          <w:rFonts w:ascii="David" w:cs="David" w:eastAsia="David" w:hAnsi="David"/>
          <w:sz w:val="24"/>
          <w:szCs w:val="24"/>
          <w:rtl/>
        </w:rPr>
        <w:t xml:space="preserve">כל סעד אחר שבית הדין הנכבד ימצא לנכון בנסיבות העניין.</w:t>
      </w:r>
    </w:p>
    <w:p>
      <w:pPr>
        <w:bidi/>
        <w:spacing w:after="120" w:line="360" w:lineRule="auto"/>
        <w:jc w:val="both"/>
      </w:pPr>
    </w:p>
    <w:p>
      <w:pPr>
        <w:bidi/>
        <w:spacing w:after="120" w:line="360" w:lineRule="auto"/>
        <w:jc w:val="both"/>
      </w:pPr>
      <w:r>
        <w:rPr>
          <w:rFonts w:ascii="David" w:cs="David" w:eastAsia="David" w:hAnsi="David"/>
          <w:b/>
          <w:bCs/>
          <w:sz w:val="24"/>
          <w:szCs w:val="24"/>
          <w:rtl/>
        </w:rPr>
        <w:t xml:space="preserve">ולראיה באתי על החתום:</w:t>
      </w:r>
    </w:p>
    <w:p>
      <w:pPr>
        <w:bidi/>
        <w:spacing w:after="120" w:line="360" w:lineRule="auto"/>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0" w:line="360" w:lineRule="auto"/>
              <w:jc w:val="center"/>
            </w:pPr>
            <w:r>
              <w:rPr>
                <w:rFonts w:ascii="David" w:cs="David" w:eastAsia="David" w:hAnsi="David"/>
                <w:sz w:val="24"/>
                <w:szCs w:val="24"/>
                <w:rtl/>
              </w:rPr>
              <w:t xml:space="preserve">__________________</w:t>
            </w:r>
          </w:p>
          <w:p>
            <w:pPr>
              <w:bidi/>
              <w:spacing w:after="0" w:line="360" w:lineRule="auto"/>
              <w:jc w:val="center"/>
            </w:pPr>
            <w:r>
              <w:rPr>
                <w:rFonts w:ascii="David" w:cs="David" w:eastAsia="David" w:hAnsi="David"/>
                <w:sz w:val="24"/>
                <w:szCs w:val="24"/>
                <w:rtl/>
              </w:rPr>
              <w:t xml:space="preserve">התובעת</w:t>
            </w:r>
          </w:p>
          <w:p>
            <w:pPr>
              <w:bidi/>
              <w:spacing w:after="0" w:line="360" w:lineRule="auto"/>
              <w:jc w:val="center"/>
            </w:pPr>
            <w:r>
              <w:rPr>
                <w:rFonts w:ascii="David" w:cs="David" w:eastAsia="David" w:hAnsi="David"/>
                <w:sz w:val="24"/>
                <w:szCs w:val="24"/>
                <w:highlight w:val="yellow"/>
                <w:highlightCs w:val="yellow"/>
                <w:rtl/>
              </w:rPr>
              <w:t xml:space="preserve">[שם התובעת]</w:t>
            </w:r>
          </w:p>
        </w:tc>
        <w:tc>
          <w:tcPr>
            <w:tcW w:type="dxa" w:w="4536"/>
            <w:tcBorders>
              <w:top w:val="none" w:color="FFFFFF" w:sz="0"/>
              <w:left w:val="none" w:color="FFFFFF" w:sz="0"/>
              <w:bottom w:val="none" w:color="FFFFFF" w:sz="0"/>
              <w:right w:val="none" w:color="FFFFFF" w:sz="0"/>
            </w:tcBorders>
          </w:tcPr>
          <w:p>
            <w:pPr>
              <w:bidi/>
              <w:spacing w:after="0" w:line="360" w:lineRule="auto"/>
              <w:jc w:val="center"/>
            </w:pPr>
            <w:r>
              <w:rPr>
                <w:rFonts w:ascii="David" w:cs="David" w:eastAsia="David" w:hAnsi="David"/>
                <w:sz w:val="24"/>
                <w:szCs w:val="24"/>
                <w:rtl/>
              </w:rPr>
              <w:t xml:space="preserve">__________________</w:t>
            </w:r>
          </w:p>
          <w:p>
            <w:pPr>
              <w:bidi/>
              <w:spacing w:after="0" w:line="360" w:lineRule="auto"/>
              <w:jc w:val="center"/>
            </w:pPr>
            <w:r>
              <w:rPr>
                <w:rFonts w:ascii="David" w:cs="David" w:eastAsia="David" w:hAnsi="David"/>
                <w:sz w:val="24"/>
                <w:szCs w:val="24"/>
                <w:rtl/>
              </w:rPr>
              <w:t xml:space="preserve">עו"ד </w:t>
            </w:r>
            <w:r>
              <w:rPr>
                <w:rFonts w:ascii="David" w:cs="David" w:eastAsia="David" w:hAnsi="David"/>
                <w:sz w:val="24"/>
                <w:szCs w:val="24"/>
                <w:highlight w:val="yellow"/>
                <w:highlightCs w:val="yellow"/>
                <w:rtl/>
              </w:rPr>
              <w:t xml:space="preserve">[_________]</w:t>
            </w:r>
          </w:p>
          <w:p>
            <w:pPr>
              <w:bidi/>
              <w:spacing w:after="0" w:line="360" w:lineRule="auto"/>
              <w:jc w:val="center"/>
            </w:pPr>
            <w:r>
              <w:rPr>
                <w:rFonts w:ascii="David" w:cs="David" w:eastAsia="David" w:hAnsi="David"/>
                <w:sz w:val="24"/>
                <w:szCs w:val="24"/>
                <w:rtl/>
              </w:rPr>
              <w:t xml:space="preserve">ב"כ התובעת</w:t>
            </w:r>
          </w:p>
        </w:tc>
      </w:tr>
    </w:tbl>
    <w:p>
      <w:pPr>
        <w:bidi/>
        <w:spacing w:after="120" w:line="360" w:lineRule="auto"/>
        <w:jc w:val="both"/>
      </w:pPr>
    </w:p>
    <w:p>
      <w:pPr>
        <w:bidi/>
        <w:spacing w:after="120" w:line="360" w:lineRule="auto"/>
        <w:jc w:val="start"/>
      </w:pPr>
      <w:r>
        <w:rPr>
          <w:rFonts w:ascii="David" w:cs="David" w:eastAsia="David" w:hAnsi="David"/>
          <w:sz w:val="24"/>
          <w:szCs w:val="24"/>
          <w:rtl/>
        </w:rPr>
        <w:t xml:space="preserve">תאריך: </w:t>
      </w:r>
      <w:r>
        <w:rPr>
          <w:rFonts w:ascii="David" w:cs="David" w:eastAsia="David" w:hAnsi="David"/>
          <w:sz w:val="24"/>
          <w:szCs w:val="24"/>
          <w:highlight w:val="yellow"/>
          <w:highlightCs w:val="yellow"/>
          <w:rtl/>
        </w:rPr>
        <w:t xml:space="preserve">[_________]</w:t>
      </w:r>
    </w:p>
    <w:p>
      <w:pPr>
        <w:bidi/>
        <w:spacing w:after="120" w:line="360" w:lineRule="auto"/>
        <w:jc w:val="both"/>
      </w:pPr>
    </w:p>
    <w:p>
      <w:pPr>
        <w:keepNext/>
        <w:bidi/>
        <w:spacing w:after="120" w:before="240" w:line="360" w:lineRule="auto"/>
        <w:jc w:val="start"/>
      </w:pPr>
      <w:r>
        <w:rPr>
          <w:rFonts w:ascii="David" w:cs="David" w:eastAsia="David" w:hAnsi="David"/>
          <w:b/>
          <w:bCs/>
          <w:sz w:val="24"/>
          <w:szCs w:val="24"/>
          <w:u w:val="single"/>
          <w:rtl/>
        </w:rPr>
        <w:t xml:space="preserve">רשימת נספחים</w:t>
      </w:r>
    </w:p>
    <w:p>
      <w:pPr>
        <w:bidi/>
        <w:spacing w:after="120" w:line="360" w:lineRule="auto"/>
        <w:jc w:val="start"/>
      </w:pPr>
      <w:r>
        <w:rPr>
          <w:rFonts w:ascii="David" w:cs="David" w:eastAsia="David" w:hAnsi="David"/>
          <w:b/>
          <w:bCs/>
          <w:sz w:val="24"/>
          <w:szCs w:val="24"/>
          <w:rtl/>
        </w:rPr>
        <w:t xml:space="preserve">נספח 1</w:t>
      </w:r>
      <w:r>
        <w:rPr>
          <w:rFonts w:ascii="David" w:cs="David" w:eastAsia="David" w:hAnsi="David"/>
          <w:sz w:val="24"/>
          <w:szCs w:val="24"/>
          <w:rtl/>
        </w:rPr>
        <w:t xml:space="preserve"> - תעודת נישואין וכתובה.</w:t>
      </w:r>
    </w:p>
    <w:p>
      <w:pPr>
        <w:bidi/>
        <w:spacing w:after="120" w:line="360" w:lineRule="auto"/>
        <w:jc w:val="start"/>
      </w:pPr>
      <w:r>
        <w:rPr>
          <w:rFonts w:ascii="David" w:cs="David" w:eastAsia="David" w:hAnsi="David"/>
          <w:b/>
          <w:bCs/>
          <w:sz w:val="24"/>
          <w:szCs w:val="24"/>
          <w:rtl/>
        </w:rPr>
        <w:t xml:space="preserve">נספח 2</w:t>
      </w:r>
      <w:r>
        <w:rPr>
          <w:rFonts w:ascii="David" w:cs="David" w:eastAsia="David" w:hAnsi="David"/>
          <w:sz w:val="24"/>
          <w:szCs w:val="24"/>
          <w:rtl/>
        </w:rPr>
        <w:t xml:space="preserve"> - נסח רישום מקרקעין של הדירה.</w:t>
      </w:r>
    </w:p>
    <w:p>
      <w:pPr>
        <w:bidi/>
        <w:spacing w:after="120" w:line="360" w:lineRule="auto"/>
        <w:jc w:val="start"/>
      </w:pPr>
      <w:r>
        <w:rPr>
          <w:rFonts w:ascii="David" w:cs="David" w:eastAsia="David" w:hAnsi="David"/>
          <w:b/>
          <w:bCs/>
          <w:sz w:val="24"/>
          <w:szCs w:val="24"/>
          <w:rtl/>
        </w:rPr>
        <w:t xml:space="preserve">נספח 3</w:t>
      </w:r>
      <w:r>
        <w:rPr>
          <w:rFonts w:ascii="David" w:cs="David" w:eastAsia="David" w:hAnsi="David"/>
          <w:sz w:val="24"/>
          <w:szCs w:val="24"/>
          <w:rtl/>
        </w:rPr>
        <w:t xml:space="preserve"> - החלטות / פרוטוקול בהליך צו ההרחקה (ה"ט </w:t>
      </w:r>
      <w:r>
        <w:rPr>
          <w:rFonts w:ascii="David" w:cs="David" w:eastAsia="David" w:hAnsi="David"/>
          <w:sz w:val="24"/>
          <w:szCs w:val="24"/>
          <w:highlight w:val="yellow"/>
          <w:highlightCs w:val="yellow"/>
          <w:rtl/>
        </w:rPr>
        <w:t xml:space="preserve">[_________]</w:t>
      </w:r>
      <w:r>
        <w:rPr>
          <w:rFonts w:ascii="David" w:cs="David" w:eastAsia="David" w:hAnsi="David"/>
          <w:sz w:val="24"/>
          <w:szCs w:val="24"/>
          <w:rtl/>
        </w:rPr>
        <w:t xml:space="preserve">).</w:t>
      </w:r>
    </w:p>
    <w:p>
      <w:pPr>
        <w:bidi/>
        <w:spacing w:after="120" w:line="360" w:lineRule="auto"/>
        <w:jc w:val="start"/>
      </w:pPr>
      <w:r>
        <w:rPr>
          <w:rFonts w:ascii="David" w:cs="David" w:eastAsia="David" w:hAnsi="David"/>
          <w:b/>
          <w:bCs/>
          <w:sz w:val="24"/>
          <w:szCs w:val="24"/>
          <w:rtl/>
        </w:rPr>
        <w:t xml:space="preserve">נספח 4</w:t>
      </w:r>
      <w:r>
        <w:rPr>
          <w:rFonts w:ascii="David" w:cs="David" w:eastAsia="David" w:hAnsi="David"/>
          <w:sz w:val="24"/>
          <w:szCs w:val="24"/>
          <w:rtl/>
        </w:rPr>
        <w:t xml:space="preserve"> - אישור הגשת בקשה ליישוב סכסוך.</w:t>
      </w:r>
    </w:p>
    <w:p>
      <w:pPr>
        <w:bidi/>
        <w:spacing w:after="120" w:line="360" w:lineRule="auto"/>
        <w:jc w:val="start"/>
      </w:pPr>
      <w:r>
        <w:rPr>
          <w:rFonts w:ascii="David" w:cs="David" w:eastAsia="David" w:hAnsi="David"/>
          <w:b/>
          <w:bCs/>
          <w:sz w:val="24"/>
          <w:szCs w:val="24"/>
          <w:rtl/>
        </w:rPr>
        <w:t xml:space="preserve">נספח 5</w:t>
      </w:r>
      <w:r>
        <w:rPr>
          <w:rFonts w:ascii="David" w:cs="David" w:eastAsia="David" w:hAnsi="David"/>
          <w:sz w:val="24"/>
          <w:szCs w:val="24"/>
          <w:rtl/>
        </w:rPr>
        <w:t xml:space="preserve"> - ייפוי כוח.</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t xml:space="preserve">עמוד </w:t>
    </w:r>
    <w:r>
      <w:rPr>
        <w:rFonts w:ascii="David" w:cs="David" w:eastAsia="David" w:hAnsi="David"/>
        <w:sz w:val="20"/>
        <w:szCs w:val="20"/>
        <w:rtl/>
      </w:rPr>
      <w:fldChar w:fldCharType="begin"/>
      <w:instrText xml:space="preserve">PAGE</w:instrText>
      <w:fldChar w:fldCharType="separate"/>
      <w:fldChar w:fldCharType="end"/>
    </w:r>
    <w:r>
      <w:rPr>
        <w:rFonts w:ascii="David" w:cs="David" w:eastAsia="David" w:hAnsi="David"/>
        <w:sz w:val="20"/>
        <w:szCs w:val="20"/>
        <w:rtl/>
      </w:rPr>
      <w:t xml:space="preserve"> מתוך </w:t>
    </w:r>
    <w:r>
      <w:rPr>
        <w:rFonts w:ascii="David" w:cs="David" w:eastAsia="David" w:hAnsi="David"/>
        <w:sz w:val="20"/>
        <w:szCs w:val="20"/>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lvl w:ilvl="1" w15:tentative="1">
      <w:start w:val="1"/>
      <w:numFmt w:val="decimal"/>
      <w:suff w:val="tab"/>
      <w:lvlText w:val="%1.%2."/>
      <w:lvlJc w:val="start"/>
      <w:pPr>
        <w:ind w:left="1134" w:hanging="56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2026-10-12T13:28:18.333Z</dcterms:created>
  <dcterms:modified xsi:type="dcterms:W3CDTF">2026-10-12T13:28:18.333Z</dcterms:modified>
</cp:coreProperties>
</file>

<file path=docProps/custom.xml><?xml version="1.0" encoding="utf-8"?>
<Properties xmlns="http://schemas.openxmlformats.org/officeDocument/2006/custom-properties" xmlns:vt="http://schemas.openxmlformats.org/officeDocument/2006/docPropsVTypes"/>
</file>