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start"/>
      </w:pPr>
      <w:r>
        <w:rPr>
          <w:rFonts w:ascii="David" w:cs="David" w:eastAsia="David" w:hAnsi="David"/>
          <w:b/>
          <w:bCs/>
          <w:sz w:val="24"/>
          <w:szCs w:val="24"/>
          <w:rtl/>
        </w:rPr>
        <w:t xml:space="preserve">בית המשפט לענייני משפחה בראשון לציון</w:t>
      </w:r>
      <w:r>
        <w:rPr>
          <w:rFonts w:ascii="David" w:cs="David" w:eastAsia="David" w:hAnsi="David"/>
          <w:b/>
          <w:bCs/>
          <w:sz w:val="24"/>
          <w:szCs w:val="24"/>
          <w:rtl/>
        </w:rPr>
        <w:t xml:space="preserve">				תמ"ש 49199-09-23</w:t>
      </w:r>
    </w:p>
    <w:p>
      <w:pPr>
        <w:bidi/>
        <w:spacing w:after="0"/>
        <w:jc w:val="start"/>
      </w:pPr>
      <w:r>
        <w:rPr>
          <w:rFonts w:ascii="David" w:cs="David" w:eastAsia="David" w:hAnsi="David"/>
          <w:sz w:val="24"/>
          <w:szCs w:val="24"/>
          <w:rtl/>
        </w:rPr>
        <w:t xml:space="preserve">המבקש: [שם המבקש], ת.ז. [___], ע"י ב"כ עו"ד סולומון טקה</w:t>
      </w:r>
    </w:p>
    <w:p>
      <w:pPr>
        <w:bidi/>
        <w:spacing w:after="0"/>
        <w:jc w:val="start"/>
      </w:pPr>
      <w:r>
        <w:rPr>
          <w:rFonts w:ascii="David" w:cs="David" w:eastAsia="David" w:hAnsi="David"/>
          <w:sz w:val="24"/>
          <w:szCs w:val="24"/>
          <w:rtl/>
        </w:rPr>
        <w:t xml:space="preserve">נגד</w:t>
      </w:r>
    </w:p>
    <w:p>
      <w:pPr>
        <w:bidi/>
        <w:spacing w:after="0"/>
        <w:jc w:val="start"/>
      </w:pPr>
      <w:r>
        <w:rPr>
          <w:rFonts w:ascii="David" w:cs="David" w:eastAsia="David" w:hAnsi="David"/>
          <w:sz w:val="24"/>
          <w:szCs w:val="24"/>
          <w:rtl/>
        </w:rPr>
        <w:t xml:space="preserve">המשיבים: 1. [שם המשיבה 1]; 2. המוסד לביטוח לאומי</w:t>
      </w:r>
    </w:p>
    <w:p>
      <w:pPr>
        <w:bidi/>
        <w:spacing w:after="160" w:before="160"/>
        <w:jc w:val="center"/>
      </w:pPr>
      <w:r>
        <w:rPr>
          <w:rFonts w:ascii="David" w:cs="David" w:eastAsia="David" w:hAnsi="David"/>
          <w:b/>
          <w:bCs/>
          <w:sz w:val="24"/>
          <w:szCs w:val="24"/>
          <w:u w:val="single"/>
          <w:rtl/>
        </w:rPr>
        <w:t xml:space="preserve">בקשה דחופה למתן הוראות - הסרת עיקול והשבת כספים בתיק הוצאה לפועל 542780-03-25</w:t>
      </w:r>
    </w:p>
    <w:p>
      <w:pPr>
        <w:bidi/>
        <w:spacing w:after="40" w:line="360" w:lineRule="auto"/>
        <w:jc w:val="both"/>
      </w:pPr>
      <w:r>
        <w:rPr>
          <w:rFonts w:ascii="David" w:cs="David" w:eastAsia="David" w:hAnsi="David"/>
          <w:sz w:val="24"/>
          <w:szCs w:val="24"/>
          <w:rtl/>
        </w:rPr>
        <w:t xml:space="preserve">בית המשפט הנכבד מתבקש להורות כי עיכוב ההליכים שבהחלטותיו מיום 19.8.2026 ומיום 17.9.2026 חל גם על העיקול בחשבון המבקש, על הגבייה ועל הגדלת החוב, כמפורט להלן:</w:t>
      </w:r>
    </w:p>
    <w:p>
      <w:pPr>
        <w:pStyle w:val="ListParagraph"/>
        <w:numPr>
          <w:ilvl w:val="0"/>
          <w:numId w:val="2"/>
        </w:numPr>
        <w:bidi/>
        <w:spacing w:after="40" w:line="360" w:lineRule="auto"/>
        <w:jc w:val="both"/>
      </w:pPr>
      <w:r>
        <w:rPr>
          <w:rFonts w:ascii="David" w:cs="David" w:eastAsia="David" w:hAnsi="David"/>
          <w:sz w:val="24"/>
          <w:szCs w:val="24"/>
          <w:rtl/>
        </w:rPr>
        <w:t xml:space="preserve">פסק הדין מיום 24.12.2023, שעל בסיסו נפתח תיק ההוצאה לפועל, בוטל ביום 12.5.2026. התיק נשען כיום על החלטת מזונות זמניים בלבד, שבקשה לביטולה או להפחתתה תלויה ועומדת.</w:t>
      </w:r>
    </w:p>
    <w:p>
      <w:pPr>
        <w:pStyle w:val="ListParagraph"/>
        <w:numPr>
          <w:ilvl w:val="0"/>
          <w:numId w:val="2"/>
        </w:numPr>
        <w:bidi/>
        <w:spacing w:after="40" w:line="360" w:lineRule="auto"/>
        <w:jc w:val="both"/>
      </w:pPr>
      <w:r>
        <w:rPr>
          <w:rFonts w:ascii="David" w:cs="David" w:eastAsia="David" w:hAnsi="David"/>
          <w:sz w:val="24"/>
          <w:szCs w:val="24"/>
          <w:rtl/>
        </w:rPr>
        <w:t xml:space="preserve">ביום 14.4.2026 הוטל עיקול לשלושה חודשים על חשבון המבקש בבנק הפועלים (סניף 768, חשבון 474964), שאליו נכנסת משכורתו. העיקול פקע ביום 14.7.2026 ולא חודש.</w:t>
      </w:r>
    </w:p>
    <w:p>
      <w:pPr>
        <w:pStyle w:val="ListParagraph"/>
        <w:numPr>
          <w:ilvl w:val="0"/>
          <w:numId w:val="2"/>
        </w:numPr>
        <w:bidi/>
        <w:spacing w:after="40" w:line="360" w:lineRule="auto"/>
        <w:jc w:val="both"/>
      </w:pPr>
      <w:r>
        <w:rPr>
          <w:rFonts w:ascii="David" w:cs="David" w:eastAsia="David" w:hAnsi="David"/>
          <w:sz w:val="24"/>
          <w:szCs w:val="24"/>
          <w:rtl/>
        </w:rPr>
        <w:t xml:space="preserve">אף על פי כן, ביום 15.9.2026, לאחר שבית המשפט הנכבד עיכב את ההליכים, נגבה מהחשבון לתיק סך של 8,869 ₪, והחשבון חסום כליל עד היום. ביום 22.9.2026 אף הוגדלה קרן החוב ב-3,431 ₪.</w:t>
      </w:r>
    </w:p>
    <w:p>
      <w:pPr>
        <w:pStyle w:val="ListParagraph"/>
        <w:numPr>
          <w:ilvl w:val="0"/>
          <w:numId w:val="2"/>
        </w:numPr>
        <w:bidi/>
        <w:spacing w:after="40" w:line="360" w:lineRule="auto"/>
        <w:jc w:val="both"/>
      </w:pPr>
      <w:r>
        <w:rPr>
          <w:rFonts w:ascii="David" w:cs="David" w:eastAsia="David" w:hAnsi="David"/>
          <w:sz w:val="24"/>
          <w:szCs w:val="24"/>
          <w:rtl/>
        </w:rPr>
        <w:t xml:space="preserve">ביום 24.9.2026 דחתה כב' הרשמת מרים סגל את בקשת המבקש, קבעה כי ההליכים מעוכבים מכוח החלטות בית המשפט הנכבד והפנתה אותו אליהן (נספח א'). ההכרעה נתונה אפוא לבית המשפט הנכבד בלבד.</w:t>
      </w:r>
    </w:p>
    <w:p>
      <w:pPr>
        <w:pStyle w:val="ListParagraph"/>
        <w:numPr>
          <w:ilvl w:val="0"/>
          <w:numId w:val="2"/>
        </w:numPr>
        <w:bidi/>
        <w:spacing w:after="40" w:line="360" w:lineRule="auto"/>
        <w:jc w:val="both"/>
      </w:pPr>
      <w:r>
        <w:rPr>
          <w:rFonts w:ascii="David" w:cs="David" w:eastAsia="David" w:hAnsi="David"/>
          <w:sz w:val="24"/>
          <w:szCs w:val="24"/>
          <w:rtl/>
        </w:rPr>
        <w:t xml:space="preserve">הגבייה פסולה משני טעמים: היא בוצעה מכוח עיקול שפקע, והיא בוצעה בניגוד לעיכוב ההליכים. עיכוב שאינו חל על העיקול ועל הגבייה ריק מתוכן.</w:t>
      </w:r>
    </w:p>
    <w:p>
      <w:pPr>
        <w:pStyle w:val="ListParagraph"/>
        <w:numPr>
          <w:ilvl w:val="0"/>
          <w:numId w:val="2"/>
        </w:numPr>
        <w:bidi/>
        <w:spacing w:after="40" w:line="360" w:lineRule="auto"/>
        <w:jc w:val="both"/>
      </w:pPr>
      <w:r>
        <w:rPr>
          <w:rFonts w:ascii="David" w:cs="David" w:eastAsia="David" w:hAnsi="David"/>
          <w:sz w:val="24"/>
          <w:szCs w:val="24"/>
          <w:rtl/>
        </w:rPr>
        <w:t xml:space="preserve">המבקש נותר ללא גישה לשכרו, אין בידו לרכוש מזון ותרופות, והוא מתקיים מהלוואות מבני משפחתו. המשיב 2 הוא גוף ממלכתי, ואין כל סיכון לזכותו אם תיקבע. מאזן הנוחות נוטה בבירור לטובת המבקש.</w:t>
      </w:r>
    </w:p>
    <w:p>
      <w:pPr>
        <w:pStyle w:val="ListParagraph"/>
        <w:numPr>
          <w:ilvl w:val="0"/>
          <w:numId w:val="2"/>
        </w:numPr>
        <w:bidi/>
        <w:spacing w:after="40" w:line="360" w:lineRule="auto"/>
        <w:jc w:val="both"/>
      </w:pPr>
      <w:r>
        <w:rPr>
          <w:rFonts w:ascii="David" w:cs="David" w:eastAsia="David" w:hAnsi="David"/>
          <w:sz w:val="24"/>
          <w:szCs w:val="24"/>
          <w:rtl/>
        </w:rPr>
        <w:t xml:space="preserve">לפיכך מתבקש בית המשפט הנכבד:</w:t>
      </w:r>
    </w:p>
    <w:p>
      <w:pPr>
        <w:pStyle w:val="ListParagraph"/>
        <w:numPr>
          <w:ilvl w:val="1"/>
          <w:numId w:val="2"/>
        </w:numPr>
        <w:bidi/>
        <w:spacing w:after="40" w:line="360" w:lineRule="auto"/>
        <w:jc w:val="both"/>
      </w:pPr>
      <w:r>
        <w:rPr>
          <w:rFonts w:ascii="David" w:cs="David" w:eastAsia="David" w:hAnsi="David"/>
          <w:sz w:val="24"/>
          <w:szCs w:val="24"/>
          <w:rtl/>
        </w:rPr>
        <w:t xml:space="preserve">להורות לראש ההוצאה לפועל ולבנק להסיר לאלתר את העיקול בחשבון.</w:t>
      </w:r>
    </w:p>
    <w:p>
      <w:pPr>
        <w:pStyle w:val="ListParagraph"/>
        <w:numPr>
          <w:ilvl w:val="1"/>
          <w:numId w:val="2"/>
        </w:numPr>
        <w:bidi/>
        <w:spacing w:after="40" w:line="360" w:lineRule="auto"/>
        <w:jc w:val="both"/>
      </w:pPr>
      <w:r>
        <w:rPr>
          <w:rFonts w:ascii="David" w:cs="David" w:eastAsia="David" w:hAnsi="David"/>
          <w:sz w:val="24"/>
          <w:szCs w:val="24"/>
          <w:rtl/>
        </w:rPr>
        <w:t xml:space="preserve">להורות על השבת סך 8,869 ₪ שנגבה ביום 15.9.2026.</w:t>
      </w:r>
    </w:p>
    <w:p>
      <w:pPr>
        <w:pStyle w:val="ListParagraph"/>
        <w:numPr>
          <w:ilvl w:val="1"/>
          <w:numId w:val="2"/>
        </w:numPr>
        <w:bidi/>
        <w:spacing w:after="40" w:line="360" w:lineRule="auto"/>
        <w:jc w:val="both"/>
      </w:pPr>
      <w:r>
        <w:rPr>
          <w:rFonts w:ascii="David" w:cs="David" w:eastAsia="David" w:hAnsi="David"/>
          <w:sz w:val="24"/>
          <w:szCs w:val="24"/>
          <w:rtl/>
        </w:rPr>
        <w:t xml:space="preserve">להורות כי בתקופת העיכוב לא יוגדל החוב ולא יינקטו פעולות גבייה, ולבטל כל תוספת לחוב מיום 19.8.2026.</w:t>
      </w:r>
    </w:p>
    <w:p>
      <w:pPr>
        <w:pStyle w:val="ListParagraph"/>
        <w:numPr>
          <w:ilvl w:val="1"/>
          <w:numId w:val="2"/>
        </w:numPr>
        <w:bidi/>
        <w:spacing w:after="40" w:line="360" w:lineRule="auto"/>
        <w:jc w:val="both"/>
      </w:pPr>
      <w:r>
        <w:rPr>
          <w:rFonts w:ascii="David" w:cs="David" w:eastAsia="David" w:hAnsi="David"/>
          <w:sz w:val="24"/>
          <w:szCs w:val="24"/>
          <w:rtl/>
        </w:rPr>
        <w:t xml:space="preserve">לקבוע מועד של 3 ימים לתגובת המשיבים.</w:t>
      </w:r>
    </w:p>
    <w:p>
      <w:pPr>
        <w:pStyle w:val="ListParagraph"/>
        <w:numPr>
          <w:ilvl w:val="0"/>
          <w:numId w:val="2"/>
        </w:numPr>
        <w:bidi/>
        <w:spacing w:after="40" w:line="360" w:lineRule="auto"/>
        <w:jc w:val="both"/>
      </w:pPr>
      <w:r>
        <w:rPr>
          <w:rFonts w:ascii="David" w:cs="David" w:eastAsia="David" w:hAnsi="David"/>
          <w:sz w:val="24"/>
          <w:szCs w:val="24"/>
          <w:rtl/>
        </w:rPr>
        <w:t xml:space="preserve">הבקשה נתמכת בתצהיר המבקש.</w:t>
      </w:r>
    </w:p>
    <w:p>
      <w:pPr>
        <w:bidi/>
        <w:spacing w:before="240"/>
        <w:jc w:val="start"/>
      </w:pPr>
      <w:r>
        <w:rPr>
          <w:rFonts w:ascii="David" w:cs="David" w:eastAsia="David" w:hAnsi="David"/>
          <w:sz w:val="24"/>
          <w:szCs w:val="24"/>
          <w:rtl/>
        </w:rPr>
        <w:t xml:space="preserve">תאריך: ____________</w:t>
      </w:r>
      <w:r>
        <w:rPr>
          <w:rFonts w:ascii="David" w:cs="David" w:eastAsia="David" w:hAnsi="David"/>
          <w:b/>
          <w:bCs/>
          <w:sz w:val="24"/>
          <w:szCs w:val="24"/>
          <w:rtl/>
        </w:rPr>
        <w:t xml:space="preserve">						סולומון טקה, עו"ד, ב"כ המבקש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lvl w:ilvl="1" w15:tentative="1">
      <w:start w:val="1"/>
      <w:numFmt w:val="hebrew1"/>
      <w:suff w:val="tab"/>
      <w:lvlText w:val="%2."/>
      <w:lvlJc w:val="star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2026-09-27T06:50:23.433Z</dcterms:created>
  <dcterms:modified xsi:type="dcterms:W3CDTF">2026-09-27T06:50:23.445Z</dcterms:modified>
</cp:coreProperties>
</file>

<file path=docProps/custom.xml><?xml version="1.0" encoding="utf-8"?>
<Properties xmlns="http://schemas.openxmlformats.org/officeDocument/2006/custom-properties" xmlns:vt="http://schemas.openxmlformats.org/officeDocument/2006/docPropsVTypes"/>
</file>