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6"/>
                <w:szCs w:val="26"/>
                <w:rtl/>
              </w:rPr>
              <w:t xml:space="preserve">בבית הדין הרבני האזורי ברחובות</w:t>
            </w:r>
          </w:p>
          <w:p>
            <w:pPr>
              <w:bidi/>
              <w:spacing w:after="0" w:before="0" w:line="276" w:lineRule="auto"/>
              <w:jc w:val="start"/>
            </w:pPr>
            <w:r>
              <w:rPr>
                <w:rFonts w:ascii="David" w:cs="David" w:eastAsia="David" w:hAnsi="David"/>
                <w:b w:val="false"/>
                <w:bCs w:val="false"/>
                <w:sz w:val="24"/>
                <w:szCs w:val="24"/>
                <w:rtl/>
              </w:rPr>
              <w:t xml:space="preserve">לפני כב' הדיין הרב אבידן משה שפנייר</w:t>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end"/>
            </w:pPr>
            <w:r>
              <w:rPr>
                <w:rFonts w:ascii="David" w:cs="David" w:eastAsia="David" w:hAnsi="David"/>
                <w:b/>
                <w:bCs/>
                <w:sz w:val="26"/>
                <w:szCs w:val="26"/>
                <w:rtl/>
              </w:rPr>
              <w:t xml:space="preserve">תיק מס' 1298590/5</w:t>
            </w:r>
          </w:p>
          <w:p>
            <w:pPr>
              <w:bidi/>
              <w:spacing w:after="0" w:before="0" w:line="276" w:lineRule="auto"/>
              <w:jc w:val="end"/>
            </w:pPr>
            <w:r>
              <w:rPr>
                <w:rFonts w:ascii="David" w:cs="David" w:eastAsia="David" w:hAnsi="David"/>
                <w:b w:val="false"/>
                <w:bCs w:val="false"/>
                <w:sz w:val="24"/>
                <w:szCs w:val="24"/>
                <w:rtl/>
              </w:rPr>
              <w:t xml:space="preserve">7.9.2026</w:t>
            </w:r>
          </w:p>
        </w:tc>
      </w:tr>
    </w:tbl>
    <w:p>
      <w:pPr>
        <w:bidi/>
        <w:spacing w:after="120" w:before="0" w:line="240" w:lineRule="auto"/>
        <w:jc w:val="both"/>
      </w:pPr>
      <w:r>
        <w:rPr>
          <w:rFonts w:ascii="David" w:cs="David" w:eastAsia="David" w:hAnsi="David"/>
          <w:b w:val="false"/>
          <w:bCs w:val="false"/>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המבקשת (האם):</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ישאמבת עלמיהו</w:t>
            </w:r>
            <w:r>
              <w:rPr>
                <w:rFonts w:ascii="David" w:cs="David" w:eastAsia="David" w:hAnsi="David"/>
                <w:b w:val="false"/>
                <w:bCs w:val="false"/>
                <w:sz w:val="24"/>
                <w:szCs w:val="24"/>
                <w:rtl/>
              </w:rPr>
              <w:t xml:space="preserve">, ת.ז. 319506812</w:t>
            </w:r>
          </w:p>
          <w:p>
            <w:pPr>
              <w:bidi/>
              <w:spacing w:after="0" w:before="0" w:line="276" w:lineRule="auto"/>
              <w:jc w:val="start"/>
            </w:pPr>
            <w:r>
              <w:rPr>
                <w:rFonts w:ascii="David" w:cs="David" w:eastAsia="David" w:hAnsi="David"/>
                <w:b w:val="false"/>
                <w:bCs w:val="false"/>
                <w:sz w:val="24"/>
                <w:szCs w:val="24"/>
                <w:rtl/>
              </w:rPr>
              <w:t xml:space="preserve">ע"י ב"כ עו"ד סולומון טקה</w:t>
            </w:r>
          </w:p>
        </w:tc>
      </w:tr>
      <w:tr>
        <w:tc>
          <w:tcPr>
            <w:tcW w:type="dxa" w:w="9072"/>
            <w:gridSpan w:val="2"/>
            <w:tcBorders>
              <w:top w:val="none" w:color="FFFFFF" w:sz="0"/>
              <w:left w:val="none" w:color="FFFFFF" w:sz="0"/>
              <w:bottom w:val="none" w:color="FFFFFF" w:sz="0"/>
              <w:right w:val="none" w:color="FFFFFF" w:sz="0"/>
            </w:tcBorders>
          </w:tcPr>
          <w:p>
            <w:pPr>
              <w:bidi/>
              <w:spacing w:after="120" w:before="120" w:line="276" w:lineRule="auto"/>
              <w:jc w:val="center"/>
            </w:pPr>
            <w:r>
              <w:rPr>
                <w:rFonts w:ascii="David" w:cs="David" w:eastAsia="David" w:hAnsi="David"/>
                <w:b/>
                <w:bCs/>
                <w:sz w:val="24"/>
                <w:szCs w:val="24"/>
                <w:rtl/>
              </w:rPr>
              <w:t xml:space="preserve">- נ ג ד -</w:t>
            </w:r>
          </w:p>
        </w:tc>
      </w:tr>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המשיב (האב):</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סיטוטאו אסנקה</w:t>
            </w:r>
            <w:r>
              <w:rPr>
                <w:rFonts w:ascii="David" w:cs="David" w:eastAsia="David" w:hAnsi="David"/>
                <w:b w:val="false"/>
                <w:bCs w:val="false"/>
                <w:sz w:val="24"/>
                <w:szCs w:val="24"/>
                <w:rtl/>
              </w:rPr>
              <w:t xml:space="preserve">, ת.ז. 321836330</w:t>
            </w:r>
          </w:p>
          <w:p>
            <w:pPr>
              <w:bidi/>
              <w:spacing w:after="0" w:before="0" w:line="276" w:lineRule="auto"/>
              <w:jc w:val="start"/>
            </w:pPr>
            <w:r>
              <w:rPr>
                <w:rFonts w:ascii="David" w:cs="David" w:eastAsia="David" w:hAnsi="David"/>
                <w:b w:val="false"/>
                <w:bCs w:val="false"/>
                <w:sz w:val="24"/>
                <w:szCs w:val="24"/>
                <w:rtl/>
              </w:rPr>
              <w:t xml:space="preserve">ע"י ב"כ עו"ד צפנת חן כהן</w:t>
            </w:r>
          </w:p>
        </w:tc>
      </w:tr>
    </w:tbl>
    <w:p>
      <w:pPr>
        <w:bidi/>
        <w:spacing w:after="60" w:before="360" w:line="360" w:lineRule="auto"/>
        <w:jc w:val="center"/>
      </w:pPr>
      <w:r>
        <w:rPr>
          <w:rFonts w:ascii="David" w:cs="David" w:eastAsia="David" w:hAnsi="David"/>
          <w:b/>
          <w:bCs/>
          <w:sz w:val="28"/>
          <w:szCs w:val="28"/>
          <w:u w:val="single"/>
          <w:rtl/>
        </w:rPr>
        <w:t xml:space="preserve">בקשה להארכת תוקפו של צו הגנה</w:t>
      </w:r>
    </w:p>
    <w:p>
      <w:pPr>
        <w:bidi/>
        <w:spacing w:after="240" w:before="0" w:line="360" w:lineRule="auto"/>
        <w:jc w:val="center"/>
      </w:pPr>
      <w:r>
        <w:rPr>
          <w:rFonts w:ascii="David" w:cs="David" w:eastAsia="David" w:hAnsi="David"/>
          <w:b/>
          <w:bCs/>
          <w:sz w:val="24"/>
          <w:szCs w:val="24"/>
          <w:rtl/>
        </w:rPr>
        <w:t xml:space="preserve">(בהתאם להחלטת בית הדין מיום 13.8.2026; תוקף הצו פוקע ביום 10.9.2026)</w:t>
      </w:r>
    </w:p>
    <w:p>
      <w:pPr>
        <w:bidi/>
        <w:spacing w:after="200" w:before="0" w:line="360" w:lineRule="auto"/>
        <w:jc w:val="both"/>
      </w:pPr>
      <w:r>
        <w:rPr>
          <w:rFonts w:ascii="David" w:cs="David" w:eastAsia="David" w:hAnsi="David"/>
          <w:b w:val="false"/>
          <w:bCs w:val="false"/>
          <w:sz w:val="24"/>
          <w:szCs w:val="24"/>
          <w:rtl/>
        </w:rPr>
        <w:t xml:space="preserve">בית הדין הנכבד מתבקש להאריך את תוקפו של צו ההגנה שניתן נגד המשיב, אשר הוארך באופן זמני עד ליום </w:t>
      </w:r>
      <w:r>
        <w:rPr>
          <w:rFonts w:ascii="David" w:cs="David" w:eastAsia="David" w:hAnsi="David"/>
          <w:b/>
          <w:bCs/>
          <w:sz w:val="24"/>
          <w:szCs w:val="24"/>
          <w:rtl/>
        </w:rPr>
        <w:t xml:space="preserve">10.9.2026</w:t>
      </w:r>
      <w:r>
        <w:rPr>
          <w:rFonts w:ascii="David" w:cs="David" w:eastAsia="David" w:hAnsi="David"/>
          <w:b w:val="false"/>
          <w:bCs w:val="false"/>
          <w:sz w:val="24"/>
          <w:szCs w:val="24"/>
          <w:rtl/>
        </w:rPr>
        <w:t xml:space="preserve">, ולהורות כי הסדר הליווי בהגעת הקטינות ובהשבתן ימשיך לעמוד בעינו, וזאת מן הנימוקים שלהלן:</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בהחלטתו מיום </w:t>
      </w:r>
      <w:r>
        <w:rPr>
          <w:rFonts w:ascii="David" w:cs="David" w:eastAsia="David" w:hAnsi="David"/>
          <w:b/>
          <w:bCs/>
          <w:sz w:val="24"/>
          <w:szCs w:val="24"/>
          <w:rtl/>
        </w:rPr>
        <w:t xml:space="preserve">13.8.2026</w:t>
      </w:r>
      <w:r>
        <w:rPr>
          <w:rFonts w:ascii="David" w:cs="David" w:eastAsia="David" w:hAnsi="David"/>
          <w:b w:val="false"/>
          <w:bCs w:val="false"/>
          <w:sz w:val="24"/>
          <w:szCs w:val="24"/>
          <w:rtl/>
        </w:rPr>
        <w:t xml:space="preserve"> האריך בית הדין הנכבד באופן זמני את תוקף צו ההגנה עד ליום 10.9.2026, וקבע כי ניתן להגיש בקשה נוספת בעניין החל מיום 6.9.2026. בקשה זו מוגשת בהתאם להחלטה זו ובמועד שנקבע בה.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הנימוקים שפורטו בבקשת המבקשת מיום 13.8.2026 עומדים בעינם, ולא חל מאז כל שינוי נסיבות המצדיק את הסרת מנגנון ההגנה: זמני השהות עם הקטינות מתקיימים כשמסירתן והשבתן נעשות בליווי גורם שלישי, זמני שהות עם הקטין טרם החלו, וההסדר כולו מצוי עדיין בשלבו ההתחלתי.</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כפי שצוין בעדכון האפוטרופוס לדין מיום 12.8.2026, עם פקיעת צו ההגנה יופסק גם הסדר הליווי, והצדדים יידרשו להיפגש ישירות כבר במפגש הראשון שלאחר מכן, בניגוד לתכלית שלשמה ניתן הצו. הארכות זמניות לתקופות קצרות מחייבות הגשת בקשות חוזרות ונשנות, ואינן מאפשרות יציבות בקיום זמני השהות.</w:t>
      </w:r>
    </w:p>
    <w:p>
      <w:pPr>
        <w:pStyle w:val="ListParagraph"/>
        <w:keepNext/>
        <w:numPr>
          <w:ilvl w:val="0"/>
          <w:numId w:val="2"/>
        </w:numPr>
        <w:bidi/>
        <w:spacing w:after="60" w:before="0" w:line="360" w:lineRule="auto"/>
        <w:jc w:val="both"/>
      </w:pPr>
      <w:r>
        <w:rPr>
          <w:rFonts w:ascii="David" w:cs="David" w:eastAsia="David" w:hAnsi="David"/>
          <w:b w:val="false"/>
          <w:bCs w:val="false"/>
          <w:sz w:val="24"/>
          <w:szCs w:val="24"/>
          <w:rtl/>
        </w:rPr>
        <w:t xml:space="preserve">אשר על כן מתבקש בית הדין הנכבד:</w:t>
      </w:r>
    </w:p>
    <w:p>
      <w:pPr>
        <w:pStyle w:val="ListParagraph"/>
        <w:numPr>
          <w:ilvl w:val="1"/>
          <w:numId w:val="2"/>
        </w:numPr>
        <w:bidi/>
        <w:spacing w:after="60" w:before="0" w:line="360" w:lineRule="auto"/>
        <w:jc w:val="both"/>
      </w:pPr>
      <w:r>
        <w:rPr>
          <w:rFonts w:ascii="David" w:cs="David" w:eastAsia="David" w:hAnsi="David"/>
          <w:b w:val="false"/>
          <w:bCs w:val="false"/>
          <w:sz w:val="24"/>
          <w:szCs w:val="24"/>
          <w:rtl/>
        </w:rPr>
        <w:t xml:space="preserve">להאריך את תוקפו של צו ההגנה בשלושה חודשים נוספים, ולחלופין עד למתן החלטה אחרת בעניין הסדרי השהות;</w:t>
      </w:r>
    </w:p>
    <w:p>
      <w:pPr>
        <w:pStyle w:val="ListParagraph"/>
        <w:numPr>
          <w:ilvl w:val="1"/>
          <w:numId w:val="2"/>
        </w:numPr>
        <w:bidi/>
        <w:spacing w:after="60" w:before="0" w:line="360" w:lineRule="auto"/>
        <w:jc w:val="both"/>
      </w:pPr>
      <w:r>
        <w:rPr>
          <w:rFonts w:ascii="David" w:cs="David" w:eastAsia="David" w:hAnsi="David"/>
          <w:b w:val="false"/>
          <w:bCs w:val="false"/>
          <w:sz w:val="24"/>
          <w:szCs w:val="24"/>
          <w:rtl/>
        </w:rPr>
        <w:t xml:space="preserve">להורות כי הסדר הליווי של גורם שלישי בהגעת הקטינות ובהשבתן ימשיך לעמוד בעינו כל עוד הצו בתוקף;</w:t>
      </w:r>
    </w:p>
    <w:p>
      <w:pPr>
        <w:pStyle w:val="ListParagraph"/>
        <w:numPr>
          <w:ilvl w:val="1"/>
          <w:numId w:val="2"/>
        </w:numPr>
        <w:bidi/>
        <w:spacing w:after="120" w:before="0" w:line="360" w:lineRule="auto"/>
        <w:jc w:val="both"/>
      </w:pPr>
      <w:r>
        <w:rPr>
          <w:rFonts w:ascii="David" w:cs="David" w:eastAsia="David" w:hAnsi="David"/>
          <w:b w:val="false"/>
          <w:bCs w:val="false"/>
          <w:sz w:val="24"/>
          <w:szCs w:val="24"/>
          <w:rtl/>
        </w:rPr>
        <w:t xml:space="preserve">ליתן החלטה בבקשה טרם יום 10.9.2026, ולחלופין להאריך את תוקף הצו באופן ארעי עד להכרעה בבקשה.</w:t>
      </w:r>
    </w:p>
    <w:p>
      <w:pPr>
        <w:pStyle w:val="ListParagraph"/>
        <w:numPr>
          <w:ilvl w:val="0"/>
          <w:numId w:val="2"/>
        </w:numPr>
        <w:bidi/>
        <w:spacing w:after="360" w:before="0" w:line="360" w:lineRule="auto"/>
        <w:jc w:val="both"/>
      </w:pPr>
      <w:r>
        <w:rPr>
          <w:rFonts w:ascii="David" w:cs="David" w:eastAsia="David" w:hAnsi="David"/>
          <w:b w:val="false"/>
          <w:bCs w:val="false"/>
          <w:sz w:val="24"/>
          <w:szCs w:val="24"/>
          <w:rtl/>
        </w:rPr>
        <w:t xml:space="preserve">העתק הבקשה נשלח לב"כ המשיב.</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both"/>
            </w:pPr>
            <w:r>
              <w:rPr>
                <w:rFonts w:ascii="David" w:cs="David" w:eastAsia="David" w:hAnsi="David"/>
                <w:b w:val="false"/>
                <w:bCs w:val="false"/>
                <w:sz w:val="24"/>
                <w:szCs w:val="24"/>
                <w:rtl/>
              </w:rPr>
              <w:t xml:space="preserve"/>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center"/>
            </w:pPr>
            <w:r>
              <w:rPr>
                <w:rFonts w:ascii="David" w:cs="David" w:eastAsia="David" w:hAnsi="David"/>
                <w:b w:val="false"/>
                <w:bCs w:val="false"/>
                <w:sz w:val="24"/>
                <w:szCs w:val="24"/>
                <w:rtl/>
              </w:rPr>
              <w:t xml:space="preserve">_____________________</w:t>
            </w:r>
          </w:p>
          <w:p>
            <w:pPr>
              <w:bidi/>
              <w:spacing w:after="0" w:before="0" w:line="276" w:lineRule="auto"/>
              <w:jc w:val="center"/>
            </w:pPr>
            <w:r>
              <w:rPr>
                <w:rFonts w:ascii="David" w:cs="David" w:eastAsia="David" w:hAnsi="David"/>
                <w:b/>
                <w:bCs/>
                <w:sz w:val="24"/>
                <w:szCs w:val="24"/>
                <w:rtl/>
              </w:rPr>
              <w:t xml:space="preserve">סולומון טקה, עו"ד</w:t>
            </w:r>
          </w:p>
          <w:p>
            <w:pPr>
              <w:bidi/>
              <w:spacing w:after="0" w:before="0" w:line="276" w:lineRule="auto"/>
              <w:jc w:val="center"/>
            </w:pPr>
            <w:r>
              <w:rPr>
                <w:rFonts w:ascii="David" w:cs="David" w:eastAsia="David" w:hAnsi="David"/>
                <w:b w:val="false"/>
                <w:bCs w:val="false"/>
                <w:sz w:val="24"/>
                <w:szCs w:val="24"/>
                <w:rtl/>
              </w:rPr>
              <w:t xml:space="preserve">ב"כ המבקשת</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hebrew1"/>
      <w:suff w:val="tab"/>
      <w:lvlText w:val="%2."/>
      <w:lvlJc w:val="start"/>
      <w:pPr>
        <w:ind w:left="1134"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להארכת תוקפו של צו הגנה - תיק 1298590/5</dc:title>
  <dc:creator>עו"ד סולומון טקה</dc:creator>
  <cp:lastModifiedBy>Un-named</cp:lastModifiedBy>
  <cp:revision>1</cp:revision>
  <dcterms:created xsi:type="dcterms:W3CDTF">2026-09-07T10:46:47.829Z</dcterms:created>
  <dcterms:modified xsi:type="dcterms:W3CDTF">2026-09-07T10:46:47.830Z</dcterms:modified>
</cp:coreProperties>
</file>

<file path=docProps/custom.xml><?xml version="1.0" encoding="utf-8"?>
<Properties xmlns="http://schemas.openxmlformats.org/officeDocument/2006/custom-properties" xmlns:vt="http://schemas.openxmlformats.org/officeDocument/2006/docPropsVTypes"/>
</file>