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שבכותרת;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אביה של הנתבעת, בעל החוזה, הלך לעולמו ביום 16.2.2024. הנתבעת סעדה אותו עד יומו האחרון, מתגוררת בדירה מאז, והתובעת עותרת לסלקה ממנה בטענה כי "פלשה" אליה.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ולב העניין: </w:t>
      </w:r>
      <w:r>
        <w:rPr>
          <w:rFonts w:ascii="David" w:hAnsi="David" w:cs="David" w:eastAsia="David" w:hint="cs"/>
          <w:b/>
          <w:bCs w:val="1"/>
          <w:sz w:val="24"/>
          <w:szCs w:val="24"/>
          <w:u w:val="single"/>
          <w:rtl w:val="1"/>
          <w:lang w:bidi="he-IL"/>
        </w:rPr>
        <w:t>תבחיני הזכאות לא נבדקו כלל</w:t>
      </w:r>
      <w:r>
        <w:rPr>
          <w:rFonts w:ascii="David" w:hAnsi="David" w:cs="David" w:eastAsia="David" w:hint="cs"/>
          <w:b w:val="0"/>
          <w:sz w:val="24"/>
          <w:szCs w:val="24"/>
          <w:u w:val="none"/>
          <w:rtl w:val="1"/>
          <w:lang w:bidi="he-IL"/>
        </w:rPr>
        <w:t>.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משכך, הקביעה שבסעיף 19 לכתב התביעה, ולפיה לא עמדה הנתבעת בנטל התבחינים המצטברים, אינה קביעה אלא הנחה; הנטל מוטל על התובעת, ולא הורם משום שמעולם לא נבדק.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המבחן שהוחל הוחל באורח בלתי סביר. על גבי הפרוטוקול מודפסת הדרישה לביקורי מעגל לדייר הממשיך "מתאריך 1.8.09 ועד מועד הבקשה ולא פחות מ-4 שנות מגורים רצופות", בעוד שהגדרת "דייר ממשיך" שבסעיף 1 לחוק זכויות הדייר בדיור הציבורי, התשנ"ח-1998, נוקבת בשלוש שנים. אף אם לדרישה זו מקור בהוראת מעבר, החלתה כמות שהיא, בלא שנבחנו נסיבותיה של הנתבעת ובלא שהוסבר מדוע נדרשת ממנה תקופה ארוכה מזו שקבע המחוקק, חורגת ממתחם הסבירות. החלטה מנהלית הפוגעת בזכות לקורת גג, שהתקבלה בלא בדיקה, בלא שימוע, בלא הנמקה ובלא המצאה,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נכנסה אליה ברשות אביה, שבה להתגורר בה כדי לסעוד אותו בחודשים שקדמו לפטירתו, ונותרה בה לאחר מכן. מי שאלה נסיבות כניסתה אינה "פולשת"; לכל היותר עסקינן בבת-רשות שרישיונה פקע, על כל המשתמע מכך לעניין הסעד ולשיקולי הצדק. יצוין כי במשבצת "חשש לנטישה/נטישה/פלישה" שבטופסי הביקור לא הוקף סימון מעולם; וכי התובעת הוסיפה לנהל את חשבון הדירה כחשבון פעיל ולזקוף בו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שלא כדין. הדירה היא ביתה היחיד; אין לה דירה בבעלותה ומעולם לא היתה לה. נסיבות מגוריה מפורטות בחלק השלישי להלן, במלואן ובלא כחל ושרק, ולמען הזהירות תטען הנתבעת לחלופין כי הן מקימות לה מעמד של דיירת ממשיכה כמשמעותו בסעיף 1 לחוק.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ובניגוד לנטען בסעיפים 10, 18 ו-19, </w:t>
      </w:r>
      <w:r>
        <w:rPr>
          <w:rFonts w:ascii="David" w:hAnsi="David" w:cs="David" w:eastAsia="David" w:hint="cs"/>
          <w:b/>
          <w:bCs w:val="1"/>
          <w:sz w:val="24"/>
          <w:szCs w:val="24"/>
          <w:u w:val="single"/>
          <w:rtl w:val="1"/>
          <w:lang w:bidi="he-IL"/>
        </w:rPr>
        <w:t>התובעת לא בחנה את עניינה של הנתבעת כלל</w:t>
      </w:r>
      <w:r>
        <w:rPr>
          <w:rFonts w:ascii="David" w:hAnsi="David" w:cs="David" w:eastAsia="David" w:hint="cs"/>
          <w:b w:val="0"/>
          <w:sz w:val="24"/>
          <w:szCs w:val="24"/>
          <w:u w:val="none"/>
          <w:rtl w:val="1"/>
          <w:lang w:bidi="he-IL"/>
        </w:rPr>
        <w:t>. היא לא בדקה היכן התגוררה ומתי, לא זימנה אותה, לא שמעה אותה ולא סימנה ולו תבחין אחד. אין בהחלטה שכך נתקבלה כדי לקבוע דבר, ומשבטלה, שומה על התובעת לשוב ולבחון את העניין מן היסוד.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המחלקה לשירותים חברתיים בעיריית פתח תקווה ביקשה בכתב להימנע מהוצאת הנתבעת מן הדירה. אישה נכה בשיעור 100%, המוכרת ברווחה, שסעדה את אביה עד מותו ואין לה קורת גג אחרת, מקיימת על פניה עילה לבחינה בפני הוועדה המוסמכת לבחינת מקרים חריגים; בחינה שמעולם לא נערכה.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המבקשת להוציא אדם מביתו על יסוד החלטה שהתקבלה בלא שנבדק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בלבד, ומבלי לגרוע מן הטענה כי ההחלטה בטלה, מתבקש בית המשפט הנכבד להורות כי לא יינתן צו פינוי בטרם יובא עניינה של הנתבעת בפני הוועדה המוסמכת לבחינת מקרים חריגים, ובטרם תוסדר לה חלופת דיור הולמת; ולעכב את בירור התביעה עד למיצוי אותו הליך. פינוי אישה נכה בשיעור 100%, כעולה מנספח ב', מביתה היחיד אינו עולה בקנה אחד עם חוק-יסוד: כבוד האדם וחירותו. ולחלופי חלופין, לעכב את ביצוע הפינוי לתקופה משמעותית.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נסיבות מגוריה של הנתבעת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והתגוררה בה מילדותה. בשנים מאוחרות יותר, על רקע מתח וקשיים ששררו בינה לבין אביה, מצבה האישי והיותו אדם נוקשה, התקשתה להתגורר עמו ברציפות, והחזיקה דירה שכורה בסמוך כדי שיהיה בידה מקום לינה נפרד. הנתבעת לא נטשה את אביה ולא חדלה מלבקרו: היא הגיעה אליו בתדירות גבוהה, סייעה לו, הכינה עבורו אוכל ודאגה לצרכיו. הנתבעת הייתה קשורה בחוזה שכירות עד לחודש יולי 2024, אולם עזבה את הדירה השכורה כשבעה חודשים קודם לכן, בסמוך לחודש דצמבר 2023, ועברה לשהות לצד אביה ולסעוד אותו בתקופה שקדמה לפטירתו. מאז הפטירה מתגוררת הנתבעת בדירה ברציפות, והיא ביתה היחיד. חוזה השכירות אינו מצוי בידי הנתבעת. אין לה דירה בבעלותה ומעולם לא היתה לה.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מאותו בניין המכירים אותה ואת המנוח עשרות שנים. כמו כן, תסתמך הנתבעת על מסמכים רשמיים, לרבות רישומי רשויות, רשומות רפואיות, דואר רשמי ומסמכים מוסדיים נוספים, אשר יוגשו במועד ובאופן שייקבעו על ידי בית המשפט הנכבד. דבר מכל אלה לא נבדק בידי התובעת מעולם.</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התובעת סומכת את תביעתה על טופסי הביקור, שמילאו נציגיה לצרכיה, ואלה סותרים זה את זה ואינם יכולים לשאת את המסקנה. 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 ובטופס מיום 3.7.2024, הביקור היחיד שנערך לאחר הפטירה, נרשם בשדה ההערות: "דייר חוזי נפטר , ביקור עם הבת עדן טדלה" [כך במקור]. "עדן"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אלו טפסים אחידים שנוסחו בידי התובעת ונחתמו בידי המנוח, לא בידי הנתבעת, והם מתייחסים למועדים שבהם נחתמו ואינם מלמדים על התקופה שקדמה לפטירה. ותניה שבהצהרה, שתכליתה לשלול מראש מקרובי המנוח את מעמד הדייר הממשיך, אינה יכולה לעמוד: זכות סטטוטורית של מי שאינו חתום על הטופס אינה ניתנת לוויתור בידי החותם, ולו מטעמי תקנת הציבור שבסעיף 30 לחוק החוזים (חלק כללי), התשל"ג-1973.</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(נספח א'), המוכרת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w:t>
      </w:r>
      <w:r>
        <w:rPr>
          <w:rFonts w:ascii="David" w:hAnsi="David" w:cs="David" w:eastAsia="David" w:hint="cs"/>
          <w:b w:val="0"/>
          <w:sz w:val="24"/>
          <w:szCs w:val="24"/>
          <w:u w:val="none"/>
          <w:rtl w:val="1"/>
          <w:lang w:bidi="he-IL"/>
        </w:rPr>
        <w:t xml:space="preserve"> בה מתגוררת מזה 30 שנה"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ומוכחש כי המדובר בהחלטה שנתקבלה כדין. הנטען בסעיפים 16 ו-19 מוכחש: אין הכחשה לקיומם של הטפסים וההצהרות, אך המסקנה המבוקשת מהם מוכחשת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ולחייב את התובעת בהוצאות ובשכ"ט עו"ד; ולחלופין, ליתן את הסעדים המפורטים בחלק השני לעיל.</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lef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2026-09-01T10:49:17Z</dcterms:created>
  <dcterms:modified xsi:type="dcterms:W3CDTF">2026-09-01T10:49:17Z</dcterms:modified>
  <cp:category/>
</cp:coreProperties>
</file>