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bidi/>
              <w:spacing w:after="20" w:line="260" w:lineRule="auto"/>
              <w:jc w:val="start"/>
            </w:pPr>
            <w:r>
              <w:rPr>
                <w:rFonts w:ascii="David" w:cs="David" w:eastAsia="David" w:hAnsi="David"/>
                <w:b/>
                <w:bCs/>
                <w:i w:val="false"/>
                <w:iCs w:val="false"/>
                <w:sz w:val="24"/>
                <w:szCs w:val="24"/>
                <w:rtl/>
              </w:rPr>
              <w:t xml:space="preserve">לשכת ההוצאה לפועל - מסלול מזונות, מחוז מרכז</w:t>
            </w:r>
          </w:p>
          <w:p>
            <w:pPr>
              <w:bidi/>
              <w:spacing w:after="20" w:line="260" w:lineRule="auto"/>
              <w:jc w:val="start"/>
            </w:pPr>
            <w:r>
              <w:rPr>
                <w:rFonts w:ascii="David" w:cs="David" w:eastAsia="David" w:hAnsi="David"/>
                <w:b w:val="false"/>
                <w:bCs w:val="false"/>
                <w:i w:val="false"/>
                <w:iCs w:val="false"/>
                <w:sz w:val="20"/>
                <w:szCs w:val="20"/>
                <w:rtl/>
              </w:rPr>
              <w:t xml:space="preserve">דרך השרון 12, כפר סבא 4427125</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bidi/>
              <w:spacing w:after="20" w:line="260" w:lineRule="auto"/>
              <w:jc w:val="end"/>
            </w:pPr>
            <w:r>
              <w:rPr>
                <w:rFonts w:ascii="David" w:cs="David" w:eastAsia="David" w:hAnsi="David"/>
                <w:b/>
                <w:bCs/>
                <w:i w:val="false"/>
                <w:iCs w:val="false"/>
                <w:sz w:val="24"/>
                <w:szCs w:val="24"/>
                <w:rtl/>
              </w:rPr>
              <w:t xml:space="preserve">תיק הוצל"פ מס' 542780-03-25</w:t>
            </w:r>
          </w:p>
          <w:p>
            <w:pPr>
              <w:bidi/>
              <w:spacing w:after="20" w:line="260" w:lineRule="auto"/>
              <w:jc w:val="end"/>
            </w:pPr>
            <w:r>
              <w:rPr>
                <w:rFonts w:ascii="David" w:cs="David" w:eastAsia="David" w:hAnsi="David"/>
                <w:b/>
                <w:bCs/>
                <w:i w:val="false"/>
                <w:iCs w:val="false"/>
                <w:sz w:val="22"/>
                <w:szCs w:val="22"/>
                <w:rtl/>
              </w:rPr>
              <w:t xml:space="preserve">בפני כב' הרשמת מרים סגל</w:t>
            </w:r>
          </w:p>
        </w:tc>
      </w:tr>
    </w:tbl>
    <w:p>
      <w:pPr>
        <w:pBdr>
          <w:bottom w:val="single" w:color="000000" w:sz="6" w:space="1"/>
        </w:pBdr>
        <w:bidi/>
        <w:spacing w:after="100" w:before="20"/>
      </w:pPr>
      <w:r>
        <w:rPr>
          <w:rFonts w:ascii="David" w:cs="David" w:eastAsia="David" w:hAnsi="David"/>
          <w:b w:val="false"/>
          <w:bCs w:val="false"/>
          <w:i w:val="false"/>
          <w:iCs w:val="false"/>
          <w:sz w:val="23"/>
          <w:szCs w:val="23"/>
          <w:rtl/>
        </w:rPr>
        <w:t xml:space="preserve"/>
      </w:r>
    </w:p>
    <w:p>
      <w:pPr>
        <w:bidi/>
        <w:spacing w:after="50" w:before="0" w:line="300" w:lineRule="auto"/>
        <w:jc w:val="start"/>
      </w:pPr>
      <w:r>
        <w:rPr>
          <w:rFonts w:ascii="David" w:cs="David" w:eastAsia="David" w:hAnsi="David"/>
          <w:b/>
          <w:bCs/>
          <w:i w:val="false"/>
          <w:iCs w:val="false"/>
          <w:sz w:val="23"/>
          <w:szCs w:val="23"/>
          <w:rtl/>
        </w:rPr>
        <w:t xml:space="preserve">בעניין: </w:t>
      </w:r>
      <w:r>
        <w:rPr>
          <w:rFonts w:ascii="David" w:cs="David" w:eastAsia="David" w:hAnsi="David"/>
          <w:b w:val="false"/>
          <w:bCs w:val="false"/>
          <w:i w:val="false"/>
          <w:iCs w:val="false"/>
          <w:sz w:val="23"/>
          <w:szCs w:val="23"/>
          <w:rtl/>
        </w:rPr>
        <w:t xml:space="preserve">מזונות ביטוח לאומי</w:t>
      </w:r>
    </w:p>
    <w:p>
      <w:pPr>
        <w:bidi/>
        <w:spacing w:after="50" w:before="0" w:line="300" w:lineRule="auto"/>
        <w:jc w:val="start"/>
      </w:pPr>
      <w:r>
        <w:rPr>
          <w:rFonts w:ascii="David" w:cs="David" w:eastAsia="David" w:hAnsi="David"/>
          <w:b/>
          <w:bCs/>
          <w:i w:val="false"/>
          <w:iCs w:val="false"/>
          <w:sz w:val="23"/>
          <w:szCs w:val="23"/>
          <w:rtl/>
        </w:rPr>
        <w:t xml:space="preserve">הזוכה: </w:t>
      </w:r>
      <w:r>
        <w:rPr>
          <w:rFonts w:ascii="David" w:cs="David" w:eastAsia="David" w:hAnsi="David"/>
          <w:b w:val="false"/>
          <w:bCs w:val="false"/>
          <w:i w:val="false"/>
          <w:iCs w:val="false"/>
          <w:sz w:val="23"/>
          <w:szCs w:val="23"/>
          <w:rtl/>
        </w:rPr>
        <w:t xml:space="preserve">המוסד לביטוח לאומי</w:t>
      </w:r>
    </w:p>
    <w:p>
      <w:pPr>
        <w:bidi/>
        <w:spacing w:after="180" w:before="0" w:line="300" w:lineRule="auto"/>
        <w:jc w:val="start"/>
      </w:pPr>
      <w:r>
        <w:rPr>
          <w:rFonts w:ascii="David" w:cs="David" w:eastAsia="David" w:hAnsi="David"/>
          <w:b/>
          <w:bCs/>
          <w:i w:val="false"/>
          <w:iCs w:val="false"/>
          <w:sz w:val="23"/>
          <w:szCs w:val="23"/>
          <w:rtl/>
        </w:rPr>
        <w:t xml:space="preserve">החייב: </w:t>
      </w:r>
      <w:r>
        <w:rPr>
          <w:rFonts w:ascii="David" w:cs="David" w:eastAsia="David" w:hAnsi="David"/>
          <w:b w:val="false"/>
          <w:bCs w:val="false"/>
          <w:i w:val="false"/>
          <w:iCs w:val="false"/>
          <w:sz w:val="23"/>
          <w:szCs w:val="23"/>
          <w:rtl/>
        </w:rPr>
        <w:t xml:space="preserve">באביי בילילין, ת.ז. 328811385, ע"י ב"כ עו"ד [שם], מ.ר. [___], מרח' [כתובת] | טל' [___] | דוא"ל [___]</w:t>
      </w:r>
    </w:p>
    <w:p>
      <w:pPr>
        <w:bidi/>
        <w:spacing w:after="60" w:before="100" w:line="300" w:lineRule="auto"/>
        <w:jc w:val="center"/>
      </w:pPr>
      <w:r>
        <w:rPr>
          <w:rFonts w:ascii="David" w:cs="David" w:eastAsia="David" w:hAnsi="David"/>
          <w:b/>
          <w:bCs/>
          <w:i w:val="false"/>
          <w:iCs w:val="false"/>
          <w:sz w:val="28"/>
          <w:szCs w:val="28"/>
          <w:u w:val="single"/>
          <w:rtl/>
        </w:rPr>
        <w:t xml:space="preserve">בקשה דחופה למתן הוראות ולהסרת עיקול לאלתר</w:t>
      </w:r>
    </w:p>
    <w:p>
      <w:pPr>
        <w:bidi/>
        <w:spacing w:after="160" w:line="280" w:lineRule="auto"/>
        <w:jc w:val="center"/>
      </w:pPr>
      <w:r>
        <w:rPr>
          <w:rFonts w:ascii="David" w:cs="David" w:eastAsia="David" w:hAnsi="David"/>
          <w:b w:val="false"/>
          <w:bCs w:val="false"/>
          <w:i w:val="false"/>
          <w:iCs w:val="false"/>
          <w:sz w:val="22"/>
          <w:szCs w:val="22"/>
          <w:rtl/>
        </w:rPr>
        <w:t xml:space="preserve">(עיקול על חשבון הבנק של החייב שנותר על כנו חרף החלטת כב' הרשמת מיום 19.8.2026 בדבר עיכוב ההליכים)</w:t>
      </w:r>
    </w:p>
    <w:p>
      <w:pPr>
        <w:bidi/>
        <w:spacing w:after="120" w:before="0" w:line="300" w:lineRule="auto"/>
        <w:jc w:val="both"/>
      </w:pPr>
      <w:r>
        <w:rPr>
          <w:rFonts w:ascii="David" w:cs="David" w:eastAsia="David" w:hAnsi="David"/>
          <w:b w:val="false"/>
          <w:bCs w:val="false"/>
          <w:i w:val="false"/>
          <w:iCs w:val="false"/>
          <w:sz w:val="23"/>
          <w:szCs w:val="23"/>
          <w:rtl/>
        </w:rPr>
        <w:t xml:space="preserve">כב' הרשמת מתבקשת להורות בדחיפות, ובמעמד צד אחד, על </w:t>
      </w:r>
      <w:r>
        <w:rPr>
          <w:rFonts w:ascii="David" w:cs="David" w:eastAsia="David" w:hAnsi="David"/>
          <w:b/>
          <w:bCs/>
          <w:i w:val="false"/>
          <w:iCs w:val="false"/>
          <w:sz w:val="23"/>
          <w:szCs w:val="23"/>
          <w:rtl/>
        </w:rPr>
        <w:t xml:space="preserve">הסרת העיקול הרשום על חשבון הבנק של החייב לאלתר</w:t>
      </w:r>
      <w:r>
        <w:rPr>
          <w:rFonts w:ascii="David" w:cs="David" w:eastAsia="David" w:hAnsi="David"/>
          <w:b w:val="false"/>
          <w:bCs w:val="false"/>
          <w:i w:val="false"/>
          <w:iCs w:val="false"/>
          <w:sz w:val="23"/>
          <w:szCs w:val="23"/>
          <w:rtl/>
        </w:rPr>
        <w:t xml:space="preserve">, ועל משלוח הודעת ביטול לבנק המחזיק; וכן ליתן הוראות בשאלה </w:t>
      </w:r>
      <w:r>
        <w:rPr>
          <w:rFonts w:ascii="David" w:cs="David" w:eastAsia="David" w:hAnsi="David"/>
          <w:b/>
          <w:bCs/>
          <w:i w:val="false"/>
          <w:iCs w:val="false"/>
          <w:sz w:val="23"/>
          <w:szCs w:val="23"/>
          <w:rtl/>
        </w:rPr>
        <w:t xml:space="preserve">מדוע לא בוצעה עד כה החלטת כב' הרשמת מיום 19.8.2026</w:t>
      </w:r>
      <w:r>
        <w:rPr>
          <w:rFonts w:ascii="David" w:cs="David" w:eastAsia="David" w:hAnsi="David"/>
          <w:b w:val="false"/>
          <w:bCs w:val="false"/>
          <w:i w:val="false"/>
          <w:iCs w:val="false"/>
          <w:sz w:val="23"/>
          <w:szCs w:val="23"/>
          <w:rtl/>
        </w:rPr>
        <w:t xml:space="preserve">, אף שחלפו למעלה משבועיים ממועד נתינתה.</w:t>
      </w:r>
    </w:p>
    <w:p>
      <w:pPr>
        <w:bidi/>
        <w:spacing w:after="70" w:before="160" w:line="300" w:lineRule="auto"/>
        <w:jc w:val="start"/>
      </w:pPr>
      <w:r>
        <w:rPr>
          <w:rFonts w:ascii="David" w:cs="David" w:eastAsia="David" w:hAnsi="David"/>
          <w:b/>
          <w:bCs/>
          <w:i w:val="false"/>
          <w:iCs w:val="false"/>
          <w:sz w:val="23"/>
          <w:szCs w:val="23"/>
          <w:u w:val="single"/>
          <w:rtl/>
        </w:rPr>
        <w:t xml:space="preserve">א. העובדות</w:t>
      </w:r>
    </w:p>
    <w:p>
      <w:pPr>
        <w:pStyle w:val="ListParagraph"/>
        <w:numPr>
          <w:ilvl w:val="0"/>
          <w:numId w:val="2"/>
        </w:numPr>
        <w:bidi/>
        <w:spacing w:after="100" w:before="40" w:line="300" w:lineRule="auto"/>
        <w:jc w:val="both"/>
      </w:pPr>
      <w:r>
        <w:rPr>
          <w:rFonts w:ascii="David" w:cs="David" w:eastAsia="David" w:hAnsi="David"/>
          <w:b w:val="false"/>
          <w:bCs w:val="false"/>
          <w:i w:val="false"/>
          <w:iCs w:val="false"/>
          <w:sz w:val="23"/>
          <w:szCs w:val="23"/>
          <w:rtl/>
        </w:rPr>
        <w:t xml:space="preserve">בתיק שבנדון ננקטו כנגד החייב הליכי אכיפה, ובהם עיקול על חשבון הבנק שלו בבנק </w:t>
      </w:r>
      <w:r>
        <w:rPr>
          <w:rFonts w:ascii="David" w:cs="David" w:eastAsia="David" w:hAnsi="David"/>
          <w:b/>
          <w:bCs/>
          <w:i w:val="false"/>
          <w:iCs w:val="false"/>
          <w:sz w:val="23"/>
          <w:szCs w:val="23"/>
          <w:rtl/>
        </w:rPr>
        <w:t xml:space="preserve">[שם הבנק]</w:t>
      </w:r>
      <w:r>
        <w:rPr>
          <w:rFonts w:ascii="David" w:cs="David" w:eastAsia="David" w:hAnsi="David"/>
          <w:b w:val="false"/>
          <w:bCs w:val="false"/>
          <w:i w:val="false"/>
          <w:iCs w:val="false"/>
          <w:sz w:val="23"/>
          <w:szCs w:val="23"/>
          <w:rtl/>
        </w:rPr>
        <w:t xml:space="preserve">, סניף </w:t>
      </w:r>
      <w:r>
        <w:rPr>
          <w:rFonts w:ascii="David" w:cs="David" w:eastAsia="David" w:hAnsi="David"/>
          <w:b/>
          <w:bCs/>
          <w:i w:val="false"/>
          <w:iCs w:val="false"/>
          <w:sz w:val="23"/>
          <w:szCs w:val="23"/>
          <w:rtl/>
        </w:rPr>
        <w:t xml:space="preserve">[___]</w:t>
      </w:r>
      <w:r>
        <w:rPr>
          <w:rFonts w:ascii="David" w:cs="David" w:eastAsia="David" w:hAnsi="David"/>
          <w:b w:val="false"/>
          <w:bCs w:val="false"/>
          <w:i w:val="false"/>
          <w:iCs w:val="false"/>
          <w:sz w:val="23"/>
          <w:szCs w:val="23"/>
          <w:rtl/>
        </w:rPr>
        <w:t xml:space="preserve">, חשבון מס' </w:t>
      </w:r>
      <w:r>
        <w:rPr>
          <w:rFonts w:ascii="David" w:cs="David" w:eastAsia="David" w:hAnsi="David"/>
          <w:b/>
          <w:bCs/>
          <w:i w:val="false"/>
          <w:iCs w:val="false"/>
          <w:sz w:val="23"/>
          <w:szCs w:val="23"/>
          <w:rtl/>
        </w:rPr>
        <w:t xml:space="preserve">[___]</w:t>
      </w:r>
      <w:r>
        <w:rPr>
          <w:rFonts w:ascii="David" w:cs="David" w:eastAsia="David" w:hAnsi="David"/>
          <w:b w:val="false"/>
          <w:bCs w:val="false"/>
          <w:i w:val="false"/>
          <w:iCs w:val="false"/>
          <w:sz w:val="23"/>
          <w:szCs w:val="23"/>
          <w:rtl/>
        </w:rPr>
        <w:t xml:space="preserve"> (להלן: "החשבון").</w:t>
      </w:r>
    </w:p>
    <w:p>
      <w:pPr>
        <w:pStyle w:val="ListParagraph"/>
        <w:numPr>
          <w:ilvl w:val="0"/>
          <w:numId w:val="2"/>
        </w:numPr>
        <w:bidi/>
        <w:spacing w:after="100" w:before="40" w:line="300" w:lineRule="auto"/>
        <w:jc w:val="both"/>
      </w:pPr>
      <w:r>
        <w:rPr>
          <w:rFonts w:ascii="David" w:cs="David" w:eastAsia="David" w:hAnsi="David"/>
          <w:b w:val="false"/>
          <w:bCs w:val="false"/>
          <w:i w:val="false"/>
          <w:iCs w:val="false"/>
          <w:sz w:val="23"/>
          <w:szCs w:val="23"/>
          <w:rtl/>
        </w:rPr>
        <w:t xml:space="preserve">ביום 18.8.2026 ניתנה החלטת בית המשפט הנכבד [</w:t>
      </w:r>
      <w:r>
        <w:rPr>
          <w:rFonts w:ascii="David" w:cs="David" w:eastAsia="David" w:hAnsi="David"/>
          <w:b w:val="false"/>
          <w:bCs w:val="false"/>
          <w:i w:val="false"/>
          <w:iCs w:val="false"/>
          <w:sz w:val="23"/>
          <w:szCs w:val="23"/>
          <w:rtl/>
        </w:rPr>
        <w:t xml:space="preserve">ערכאה ומספר הליך</w:t>
      </w:r>
      <w:r>
        <w:rPr>
          <w:rFonts w:ascii="David" w:cs="David" w:eastAsia="David" w:hAnsi="David"/>
          <w:b w:val="false"/>
          <w:bCs w:val="false"/>
          <w:i w:val="false"/>
          <w:iCs w:val="false"/>
          <w:sz w:val="23"/>
          <w:szCs w:val="23"/>
          <w:rtl/>
        </w:rPr>
        <w:t xml:space="preserve">], ובעקבותיה הוגשה בקשה מס' 41 (סוג 61 - עיכוב הליך/הליכים). ביום </w:t>
      </w:r>
      <w:r>
        <w:rPr>
          <w:rFonts w:ascii="David" w:cs="David" w:eastAsia="David" w:hAnsi="David"/>
          <w:b/>
          <w:bCs/>
          <w:i w:val="false"/>
          <w:iCs w:val="false"/>
          <w:sz w:val="23"/>
          <w:szCs w:val="23"/>
          <w:rtl/>
        </w:rPr>
        <w:t xml:space="preserve">19.8.2026</w:t>
      </w:r>
      <w:r>
        <w:rPr>
          <w:rFonts w:ascii="David" w:cs="David" w:eastAsia="David" w:hAnsi="David"/>
          <w:b w:val="false"/>
          <w:bCs w:val="false"/>
          <w:i w:val="false"/>
          <w:iCs w:val="false"/>
          <w:sz w:val="23"/>
          <w:szCs w:val="23"/>
          <w:rtl/>
        </w:rPr>
        <w:t xml:space="preserve"> נעתרה כב' הרשמת לבקשה וקבעה, מפורשות וללא סייג: </w:t>
      </w:r>
      <w:r>
        <w:rPr>
          <w:rFonts w:ascii="David" w:cs="David" w:eastAsia="David" w:hAnsi="David"/>
          <w:b/>
          <w:bCs/>
          <w:i/>
          <w:iCs/>
          <w:sz w:val="23"/>
          <w:szCs w:val="23"/>
          <w:rtl/>
        </w:rPr>
        <w:t xml:space="preserve">"בהתאם להחלטת בית משפט הנכבד מיום 18.8.2026 אני מורה על עיכוב ההליכים בתיק עד למתן החלטה אחרת"</w:t>
      </w:r>
      <w:r>
        <w:rPr>
          <w:rFonts w:ascii="David" w:cs="David" w:eastAsia="David" w:hAnsi="David"/>
          <w:b w:val="false"/>
          <w:bCs w:val="false"/>
          <w:i w:val="false"/>
          <w:iCs w:val="false"/>
          <w:sz w:val="23"/>
          <w:szCs w:val="23"/>
          <w:rtl/>
        </w:rPr>
        <w:t xml:space="preserve"> (מצ"ב </w:t>
      </w:r>
      <w:r>
        <w:rPr>
          <w:rFonts w:ascii="David" w:cs="David" w:eastAsia="David" w:hAnsi="David"/>
          <w:b/>
          <w:bCs/>
          <w:i w:val="false"/>
          <w:iCs w:val="false"/>
          <w:sz w:val="23"/>
          <w:szCs w:val="23"/>
          <w:rtl/>
        </w:rPr>
        <w:t xml:space="preserve">נספח א'</w:t>
      </w:r>
      <w:r>
        <w:rPr>
          <w:rFonts w:ascii="David" w:cs="David" w:eastAsia="David" w:hAnsi="David"/>
          <w:b w:val="false"/>
          <w:bCs w:val="false"/>
          <w:i w:val="false"/>
          <w:iCs w:val="false"/>
          <w:sz w:val="23"/>
          <w:szCs w:val="23"/>
          <w:rtl/>
        </w:rPr>
        <w:t xml:space="preserve">).</w:t>
      </w:r>
    </w:p>
    <w:p>
      <w:pPr>
        <w:pStyle w:val="ListParagraph"/>
        <w:numPr>
          <w:ilvl w:val="0"/>
          <w:numId w:val="2"/>
        </w:numPr>
        <w:bidi/>
        <w:spacing w:after="100" w:before="40" w:line="300" w:lineRule="auto"/>
        <w:jc w:val="both"/>
      </w:pPr>
      <w:r>
        <w:rPr>
          <w:rFonts w:ascii="David" w:cs="David" w:eastAsia="David" w:hAnsi="David"/>
          <w:b w:val="false"/>
          <w:bCs w:val="false"/>
          <w:i w:val="false"/>
          <w:iCs w:val="false"/>
          <w:sz w:val="23"/>
          <w:szCs w:val="23"/>
          <w:rtl/>
        </w:rPr>
        <w:t xml:space="preserve">חרף האמור, ונכון למועד הגשת בקשה זו - למעלה משבועיים לאחר מתן ההחלטה - </w:t>
      </w:r>
      <w:r>
        <w:rPr>
          <w:rFonts w:ascii="David" w:cs="David" w:eastAsia="David" w:hAnsi="David"/>
          <w:b/>
          <w:bCs/>
          <w:i w:val="false"/>
          <w:iCs w:val="false"/>
          <w:sz w:val="23"/>
          <w:szCs w:val="23"/>
          <w:rtl/>
        </w:rPr>
        <w:t xml:space="preserve">העיקול על החשבון טרם הוסר, והוא רשום ופעיל</w:t>
      </w:r>
      <w:r>
        <w:rPr>
          <w:rFonts w:ascii="David" w:cs="David" w:eastAsia="David" w:hAnsi="David"/>
          <w:b w:val="false"/>
          <w:bCs w:val="false"/>
          <w:i w:val="false"/>
          <w:iCs w:val="false"/>
          <w:sz w:val="23"/>
          <w:szCs w:val="23"/>
          <w:rtl/>
        </w:rPr>
        <w:t xml:space="preserve">. פנייה לבנק המחזיק העלתה כי לא התקבלה בו כל הודעת ביטול מטעם הלשכה הנכבדה (מצ"ב </w:t>
      </w:r>
      <w:r>
        <w:rPr>
          <w:rFonts w:ascii="David" w:cs="David" w:eastAsia="David" w:hAnsi="David"/>
          <w:b/>
          <w:bCs/>
          <w:i w:val="false"/>
          <w:iCs w:val="false"/>
          <w:sz w:val="23"/>
          <w:szCs w:val="23"/>
          <w:rtl/>
        </w:rPr>
        <w:t xml:space="preserve">נספח ב'</w:t>
      </w:r>
      <w:r>
        <w:rPr>
          <w:rFonts w:ascii="David" w:cs="David" w:eastAsia="David" w:hAnsi="David"/>
          <w:b w:val="false"/>
          <w:bCs w:val="false"/>
          <w:i w:val="false"/>
          <w:iCs w:val="false"/>
          <w:sz w:val="23"/>
          <w:szCs w:val="23"/>
          <w:rtl/>
        </w:rPr>
        <w:t xml:space="preserve">), ופניות מקדימות שנעשו ללשכה לא הניבו מענה ענייני.</w:t>
      </w:r>
    </w:p>
    <w:p>
      <w:pPr>
        <w:bidi/>
        <w:spacing w:after="70" w:before="160" w:line="300" w:lineRule="auto"/>
        <w:jc w:val="start"/>
      </w:pPr>
      <w:r>
        <w:rPr>
          <w:rFonts w:ascii="David" w:cs="David" w:eastAsia="David" w:hAnsi="David"/>
          <w:b/>
          <w:bCs/>
          <w:i w:val="false"/>
          <w:iCs w:val="false"/>
          <w:sz w:val="23"/>
          <w:szCs w:val="23"/>
          <w:u w:val="single"/>
          <w:rtl/>
        </w:rPr>
        <w:t xml:space="preserve">ב. הטעמים המשפטיים</w:t>
      </w:r>
    </w:p>
    <w:p>
      <w:pPr>
        <w:pStyle w:val="ListParagraph"/>
        <w:numPr>
          <w:ilvl w:val="0"/>
          <w:numId w:val="2"/>
        </w:numPr>
        <w:bidi/>
        <w:spacing w:after="100" w:before="40" w:line="300" w:lineRule="auto"/>
        <w:jc w:val="both"/>
      </w:pPr>
      <w:r>
        <w:rPr>
          <w:rFonts w:ascii="David" w:cs="David" w:eastAsia="David" w:hAnsi="David"/>
          <w:b w:val="false"/>
          <w:bCs w:val="false"/>
          <w:i w:val="false"/>
          <w:iCs w:val="false"/>
          <w:sz w:val="23"/>
          <w:szCs w:val="23"/>
          <w:rtl/>
        </w:rPr>
        <w:t xml:space="preserve">החלטת עיכוב ההליכים היא החלטה שיפוטית מחייבת, שנוסחה באופן גורף וללא הבחנה בין סוגי הליכים, ומשמעותה הקפאה מלאה של פעולות האכיפה בתיק. </w:t>
      </w:r>
      <w:r>
        <w:rPr>
          <w:rFonts w:ascii="David" w:cs="David" w:eastAsia="David" w:hAnsi="David"/>
          <w:b/>
          <w:bCs/>
          <w:i w:val="false"/>
          <w:iCs w:val="false"/>
          <w:sz w:val="23"/>
          <w:szCs w:val="23"/>
          <w:rtl/>
        </w:rPr>
        <w:t xml:space="preserve">עיקול על חשבון בנק אינו אירוע חד-פעמי הנעצר במועד הטלתו, אלא הליך נמשך ומתחדש מדי יום ביומו</w:t>
      </w:r>
      <w:r>
        <w:rPr>
          <w:rFonts w:ascii="David" w:cs="David" w:eastAsia="David" w:hAnsi="David"/>
          <w:b w:val="false"/>
          <w:bCs w:val="false"/>
          <w:i w:val="false"/>
          <w:iCs w:val="false"/>
          <w:sz w:val="23"/>
          <w:szCs w:val="23"/>
          <w:rtl/>
        </w:rPr>
        <w:t xml:space="preserve"> - שכן מדי יום מוסיף הבנק לתפוס את הכספים הנכנסים לחשבון ולהגבילו. משכך, הותרת העיקול על כנו לאחר החלטת העיכוב אינה "מחדל טכני" גרידא, אלא המשך נקיטתו בפועל של הליך שעוכב בהחלטה שיפוטית תקפה.</w:t>
      </w:r>
    </w:p>
    <w:p>
      <w:pPr>
        <w:pStyle w:val="ListParagraph"/>
        <w:numPr>
          <w:ilvl w:val="0"/>
          <w:numId w:val="2"/>
        </w:numPr>
        <w:bidi/>
        <w:spacing w:after="100" w:before="40" w:line="300" w:lineRule="auto"/>
        <w:jc w:val="both"/>
      </w:pPr>
      <w:r>
        <w:rPr>
          <w:rFonts w:ascii="David" w:cs="David" w:eastAsia="David" w:hAnsi="David"/>
          <w:b w:val="false"/>
          <w:bCs w:val="false"/>
          <w:i w:val="false"/>
          <w:iCs w:val="false"/>
          <w:sz w:val="23"/>
          <w:szCs w:val="23"/>
          <w:rtl/>
        </w:rPr>
        <w:t xml:space="preserve">פרשנות מצמצמת, שלפיה עיכוב ההליכים חל אך על נקיטת הליכים חדשים ואינו מבטל הליכים קיימים, מרוקנת את ההחלטה מתוכנה ומותירה את החייב במצב זהה למצבו ערב נתינתה. זאת ועוד: כוחו של העיקול לתפוס נכסים בידי צד שלישי יונק מהליכי האכיפה התלויים ועומדים בתיק (סעיף 44 לחוק ההוצאה לפועל, התשכ"ז-1967); משעוכבו הליכים אלה, נשמט הבסיס להמשך תפיסת הכספים.</w:t>
      </w:r>
    </w:p>
    <w:p>
      <w:pPr>
        <w:pStyle w:val="ListParagraph"/>
        <w:numPr>
          <w:ilvl w:val="0"/>
          <w:numId w:val="2"/>
        </w:numPr>
        <w:bidi/>
        <w:spacing w:after="140" w:before="40" w:line="300" w:lineRule="auto"/>
        <w:jc w:val="both"/>
      </w:pPr>
      <w:r>
        <w:rPr>
          <w:rFonts w:ascii="David" w:cs="David" w:eastAsia="David" w:hAnsi="David"/>
          <w:b w:val="false"/>
          <w:bCs w:val="false"/>
          <w:i w:val="false"/>
          <w:iCs w:val="false"/>
          <w:sz w:val="23"/>
          <w:szCs w:val="23"/>
          <w:rtl/>
        </w:rPr>
        <w:t xml:space="preserve">הנזק יומיומי ומתמשך: כל עוד עומד העיקול בעינו, החייב מנוע מלמשוך את שכרו, מלעמוד בתשלומי מגורים וחשבונות ומלרכוש מזון ותרופות - ובה בעת נמנעת ממנו היכולת לגייס משאבים להסדרת חובו, באופן הפוגע אף באינטרס הזוכה.</w:t>
      </w:r>
    </w:p>
    <w:p>
      <w:pPr>
        <w:bidi/>
        <w:spacing w:after="70" w:before="160" w:line="300" w:lineRule="auto"/>
        <w:jc w:val="start"/>
      </w:pPr>
      <w:r>
        <w:rPr>
          <w:rFonts w:ascii="David" w:cs="David" w:eastAsia="David" w:hAnsi="David"/>
          <w:b/>
          <w:bCs/>
          <w:i w:val="false"/>
          <w:iCs w:val="false"/>
          <w:sz w:val="23"/>
          <w:szCs w:val="23"/>
          <w:u w:val="single"/>
          <w:rtl/>
        </w:rPr>
        <w:t xml:space="preserve">ג. הסעדים המבוקשים</w:t>
      </w:r>
    </w:p>
    <w:p>
      <w:pPr>
        <w:bidi/>
        <w:spacing w:after="80" w:line="300" w:lineRule="auto"/>
        <w:ind w:right="400" w:hanging="400"/>
        <w:jc w:val="both"/>
      </w:pPr>
      <w:r>
        <w:rPr>
          <w:rFonts w:ascii="David" w:cs="David" w:eastAsia="David" w:hAnsi="David"/>
          <w:b w:val="false"/>
          <w:bCs w:val="false"/>
          <w:i w:val="false"/>
          <w:iCs w:val="false"/>
          <w:sz w:val="23"/>
          <w:szCs w:val="23"/>
          <w:rtl/>
        </w:rPr>
        <w:t xml:space="preserve">א.	</w:t>
      </w:r>
      <w:r>
        <w:rPr>
          <w:rFonts w:ascii="David" w:cs="David" w:eastAsia="David" w:hAnsi="David"/>
          <w:b w:val="false"/>
          <w:bCs w:val="false"/>
          <w:i w:val="false"/>
          <w:iCs w:val="false"/>
          <w:sz w:val="23"/>
          <w:szCs w:val="23"/>
          <w:rtl/>
        </w:rPr>
        <w:t xml:space="preserve">להורות על הסרת העיקול על החשבון לאלתר, ועל משלוח הודעת ביטול לבנק המחזיק באופן מיידי.</w:t>
      </w:r>
    </w:p>
    <w:p>
      <w:pPr>
        <w:bidi/>
        <w:spacing w:after="80" w:line="300" w:lineRule="auto"/>
        <w:ind w:right="400" w:hanging="400"/>
        <w:jc w:val="both"/>
      </w:pPr>
      <w:r>
        <w:rPr>
          <w:rFonts w:ascii="David" w:cs="David" w:eastAsia="David" w:hAnsi="David"/>
          <w:b w:val="false"/>
          <w:bCs w:val="false"/>
          <w:i w:val="false"/>
          <w:iCs w:val="false"/>
          <w:sz w:val="23"/>
          <w:szCs w:val="23"/>
          <w:rtl/>
        </w:rPr>
        <w:t xml:space="preserve">ב.	</w:t>
      </w:r>
      <w:r>
        <w:rPr>
          <w:rFonts w:ascii="David" w:cs="David" w:eastAsia="David" w:hAnsi="David"/>
          <w:b w:val="false"/>
          <w:bCs w:val="false"/>
          <w:i w:val="false"/>
          <w:iCs w:val="false"/>
          <w:sz w:val="23"/>
          <w:szCs w:val="23"/>
          <w:rtl/>
        </w:rPr>
        <w:t xml:space="preserve">להורות למזכירות הלשכה למסור דיווח, בתוך פרק זמן קצר שייקבע, מדוע לא בוצעה החלטת כב' הרשמת מיום 19.8.2026.</w:t>
      </w:r>
    </w:p>
    <w:p>
      <w:pPr>
        <w:bidi/>
        <w:spacing w:after="80" w:line="300" w:lineRule="auto"/>
        <w:ind w:right="400" w:hanging="400"/>
        <w:jc w:val="both"/>
      </w:pPr>
      <w:r>
        <w:rPr>
          <w:rFonts w:ascii="David" w:cs="David" w:eastAsia="David" w:hAnsi="David"/>
          <w:b w:val="false"/>
          <w:bCs w:val="false"/>
          <w:i w:val="false"/>
          <w:iCs w:val="false"/>
          <w:sz w:val="23"/>
          <w:szCs w:val="23"/>
          <w:rtl/>
        </w:rPr>
        <w:t xml:space="preserve">ג.	</w:t>
      </w:r>
      <w:r>
        <w:rPr>
          <w:rFonts w:ascii="David" w:cs="David" w:eastAsia="David" w:hAnsi="David"/>
          <w:b w:val="false"/>
          <w:bCs w:val="false"/>
          <w:i w:val="false"/>
          <w:iCs w:val="false"/>
          <w:sz w:val="23"/>
          <w:szCs w:val="23"/>
          <w:rtl/>
        </w:rPr>
        <w:t xml:space="preserve">להורות על ביטול כלל הליכי האכיפה התלויים ועומדים בתיק, כל עוד עומדת בעינה החלטת עיכוב ההליכים.</w:t>
      </w:r>
    </w:p>
    <w:p>
      <w:pPr>
        <w:bidi/>
        <w:spacing w:after="80" w:line="300" w:lineRule="auto"/>
        <w:ind w:right="400" w:hanging="400"/>
        <w:jc w:val="both"/>
      </w:pPr>
      <w:r>
        <w:rPr>
          <w:rFonts w:ascii="David" w:cs="David" w:eastAsia="David" w:hAnsi="David"/>
          <w:b w:val="false"/>
          <w:bCs w:val="false"/>
          <w:i w:val="false"/>
          <w:iCs w:val="false"/>
          <w:sz w:val="23"/>
          <w:szCs w:val="23"/>
          <w:rtl/>
        </w:rPr>
        <w:t xml:space="preserve">ד.	</w:t>
      </w:r>
      <w:r>
        <w:rPr>
          <w:rFonts w:ascii="David" w:cs="David" w:eastAsia="David" w:hAnsi="David"/>
          <w:b w:val="false"/>
          <w:bCs w:val="false"/>
          <w:i w:val="false"/>
          <w:iCs w:val="false"/>
          <w:sz w:val="23"/>
          <w:szCs w:val="23"/>
          <w:rtl/>
        </w:rPr>
        <w:t xml:space="preserve">להורות על השבת כל סכום שנגבה, נתפס או הועבר מן החשבון החל מיום 19.8.2026 ואילך.</w:t>
      </w:r>
    </w:p>
    <w:p>
      <w:pPr>
        <w:bidi/>
        <w:spacing w:after="80" w:line="300" w:lineRule="auto"/>
        <w:ind w:right="400" w:hanging="400"/>
        <w:jc w:val="both"/>
      </w:pPr>
      <w:r>
        <w:rPr>
          <w:rFonts w:ascii="David" w:cs="David" w:eastAsia="David" w:hAnsi="David"/>
          <w:b w:val="false"/>
          <w:bCs w:val="false"/>
          <w:i w:val="false"/>
          <w:iCs w:val="false"/>
          <w:sz w:val="23"/>
          <w:szCs w:val="23"/>
          <w:rtl/>
        </w:rPr>
        <w:t xml:space="preserve">ה.	</w:t>
      </w:r>
      <w:r>
        <w:rPr>
          <w:rFonts w:ascii="David" w:cs="David" w:eastAsia="David" w:hAnsi="David"/>
          <w:b w:val="false"/>
          <w:bCs w:val="false"/>
          <w:i w:val="false"/>
          <w:iCs w:val="false"/>
          <w:sz w:val="23"/>
          <w:szCs w:val="23"/>
          <w:rtl/>
        </w:rPr>
        <w:t xml:space="preserve">לדון בבקשה בדחיפות ובמעמד צד אחד, לנוכח הנזק המתמשך הנגרם לחייב מדי יום.</w:t>
      </w:r>
    </w:p>
    <w:p>
      <w:pPr>
        <w:bidi/>
        <w:spacing w:after="200" w:before="100" w:line="300" w:lineRule="auto"/>
        <w:jc w:val="both"/>
      </w:pPr>
      <w:r>
        <w:rPr>
          <w:rFonts w:ascii="David" w:cs="David" w:eastAsia="David" w:hAnsi="David"/>
          <w:b w:val="false"/>
          <w:bCs w:val="false"/>
          <w:i w:val="false"/>
          <w:iCs w:val="false"/>
          <w:sz w:val="23"/>
          <w:szCs w:val="23"/>
          <w:rtl/>
        </w:rPr>
        <w:t xml:space="preserve">אין באמור כדי לגרוע מכל טענה וזכות של החייב, כולן שמורות לו.</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bidi/>
              <w:spacing w:after="20" w:line="260" w:lineRule="auto"/>
              <w:jc w:val="start"/>
            </w:pPr>
            <w:r>
              <w:rPr>
                <w:rFonts w:ascii="David" w:cs="David" w:eastAsia="David" w:hAnsi="David"/>
                <w:b w:val="false"/>
                <w:bCs w:val="false"/>
                <w:i w:val="false"/>
                <w:iCs w:val="false"/>
                <w:sz w:val="23"/>
                <w:szCs w:val="23"/>
                <w:rtl/>
              </w:rPr>
              <w:t xml:space="preserve">תאריך: [__].[__].2026</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tcPr>
          <w:p>
            <w:pPr>
              <w:bidi/>
              <w:spacing w:after="20" w:line="260" w:lineRule="auto"/>
              <w:jc w:val="end"/>
            </w:pPr>
            <w:r>
              <w:rPr>
                <w:rFonts w:ascii="David" w:cs="David" w:eastAsia="David" w:hAnsi="David"/>
                <w:b w:val="false"/>
                <w:bCs w:val="false"/>
                <w:i w:val="false"/>
                <w:iCs w:val="false"/>
                <w:sz w:val="23"/>
                <w:szCs w:val="23"/>
                <w:rtl/>
              </w:rPr>
              <w:t xml:space="preserve">_________________________</w:t>
            </w:r>
          </w:p>
          <w:p>
            <w:pPr>
              <w:bidi/>
              <w:spacing w:after="20" w:line="260" w:lineRule="auto"/>
              <w:jc w:val="end"/>
            </w:pPr>
            <w:r>
              <w:rPr>
                <w:rFonts w:ascii="David" w:cs="David" w:eastAsia="David" w:hAnsi="David"/>
                <w:b w:val="false"/>
                <w:bCs w:val="false"/>
                <w:i w:val="false"/>
                <w:iCs w:val="false"/>
                <w:sz w:val="23"/>
                <w:szCs w:val="23"/>
                <w:rtl/>
              </w:rPr>
              <w:t xml:space="preserve">[שם עו"ד], עו"ד - ב"כ החייב</w:t>
            </w:r>
          </w:p>
        </w:tc>
      </w:tr>
    </w:tbl>
    <w:p>
      <w:pPr>
        <w:bidi/>
        <w:spacing w:after="0" w:before="140" w:line="300" w:lineRule="auto"/>
        <w:jc w:val="both"/>
      </w:pPr>
      <w:r>
        <w:rPr>
          <w:rFonts w:ascii="David" w:cs="David" w:eastAsia="David" w:hAnsi="David"/>
          <w:b/>
          <w:bCs/>
          <w:i w:val="false"/>
          <w:iCs w:val="false"/>
          <w:sz w:val="23"/>
          <w:szCs w:val="23"/>
          <w:rtl/>
        </w:rPr>
        <w:t xml:space="preserve">נספחים: </w:t>
      </w:r>
      <w:r>
        <w:rPr>
          <w:rFonts w:ascii="David" w:cs="David" w:eastAsia="David" w:hAnsi="David"/>
          <w:b w:val="false"/>
          <w:bCs w:val="false"/>
          <w:i w:val="false"/>
          <w:iCs w:val="false"/>
          <w:sz w:val="21"/>
          <w:szCs w:val="21"/>
          <w:rtl/>
        </w:rPr>
        <w:t xml:space="preserve">א' - החלטת כב' הרשמת מיום 19.8.2026 (בקשה מס' 41); ב' - אישור הבנק / פלט מצב החשבון; ג' - החלטת בית המשפט מיום 18.8.2026.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2026-09-03T13:22:17.012Z</dcterms:created>
  <dcterms:modified xsi:type="dcterms:W3CDTF">2026-09-03T13:22:17.012Z</dcterms:modified>
</cp:coreProperties>
</file>

<file path=docProps/custom.xml><?xml version="1.0" encoding="utf-8"?>
<Properties xmlns="http://schemas.openxmlformats.org/officeDocument/2006/custom-properties" xmlns:vt="http://schemas.openxmlformats.org/officeDocument/2006/docPropsVTypes"/>
</file>