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240" w:before="240" w:line="340" w:lineRule="auto"/>
        <w:jc w:val="center"/>
      </w:pPr>
      <w:r>
        <w:rPr>
          <w:rFonts w:ascii="David" w:cs="David" w:eastAsia="David" w:hAnsi="David"/>
          <w:b/>
          <w:bCs/>
          <w:sz w:val="30"/>
          <w:szCs w:val="30"/>
          <w:u w:val="single"/>
          <w:rtl/>
        </w:rPr>
        <w:t xml:space="preserve">הנחיות מילוי והערות מקצועיות</w:t>
      </w:r>
    </w:p>
    <w:p>
      <w:pPr>
        <w:bidi/>
        <w:spacing w:after="200" w:line="340" w:lineRule="auto"/>
        <w:jc w:val="center"/>
      </w:pPr>
      <w:r>
        <w:rPr>
          <w:rFonts w:ascii="David" w:cs="David" w:eastAsia="David" w:hAnsi="David"/>
          <w:b/>
          <w:bCs/>
          <w:sz w:val="24"/>
          <w:szCs w:val="24"/>
          <w:rtl/>
        </w:rPr>
        <w:t xml:space="preserve">מסמך פנימי - לא להגשה</w:t>
      </w:r>
    </w:p>
    <w:p>
      <w:pPr>
        <w:bidi/>
        <w:spacing w:after="60" w:line="340" w:lineRule="auto"/>
        <w:jc w:val="both"/>
      </w:pPr>
      <w:r>
        <w:rPr>
          <w:rFonts w:ascii="David" w:cs="David" w:eastAsia="David" w:hAnsi="David"/>
          <w:sz w:val="24"/>
          <w:szCs w:val="24"/>
          <w:rtl/>
        </w:rPr>
        <w:t xml:space="preserve">כל השדות להשלמה בכתב התביעה מסומנים </w:t>
      </w:r>
      <w:r>
        <w:rPr>
          <w:rFonts w:ascii="David" w:cs="David" w:eastAsia="David" w:hAnsi="David"/>
          <w:sz w:val="24"/>
          <w:szCs w:val="24"/>
          <w:highlight w:val="yellow"/>
          <w:highlightCs w:val="yellow"/>
          <w:rtl/>
        </w:rPr>
        <w:t xml:space="preserve">[בסוגריים ובהדגשה צהובה]</w:t>
      </w:r>
      <w:r>
        <w:rPr>
          <w:rFonts w:ascii="David" w:cs="David" w:eastAsia="David" w:hAnsi="David"/>
          <w:sz w:val="24"/>
          <w:szCs w:val="24"/>
          <w:rtl/>
        </w:rPr>
        <w:t xml:space="preserve">. יש להסיר את ההדגשה לאחר המילוי.</w:t>
      </w:r>
    </w:p>
    <w:p>
      <w:pPr>
        <w:keepNext/>
        <w:bidi/>
        <w:spacing w:after="120" w:before="240" w:line="340" w:lineRule="auto"/>
        <w:jc w:val="start"/>
      </w:pPr>
      <w:r>
        <w:rPr>
          <w:rFonts w:ascii="David" w:cs="David" w:eastAsia="David" w:hAnsi="David"/>
          <w:b/>
          <w:bCs/>
          <w:sz w:val="24"/>
          <w:szCs w:val="24"/>
          <w:u w:val="single"/>
          <w:rtl/>
        </w:rPr>
        <w:t xml:space="preserve">א. לפני ההגשה</w:t>
      </w:r>
    </w:p>
    <w:p>
      <w:pPr>
        <w:pStyle w:val="ListParagraph"/>
        <w:numPr>
          <w:ilvl w:val="0"/>
          <w:numId w:val="2"/>
        </w:numPr>
        <w:bidi/>
        <w:spacing w:after="60" w:line="340" w:lineRule="auto"/>
        <w:jc w:val="both"/>
      </w:pPr>
      <w:r>
        <w:rPr>
          <w:rFonts w:ascii="David" w:cs="David" w:eastAsia="David" w:hAnsi="David"/>
          <w:b/>
          <w:bCs/>
          <w:sz w:val="24"/>
          <w:szCs w:val="24"/>
          <w:rtl/>
        </w:rPr>
        <w:t xml:space="preserve">חובת בקשה ליישוב סכסוך:</w:t>
      </w:r>
      <w:r>
        <w:rPr>
          <w:rFonts w:ascii="David" w:cs="David" w:eastAsia="David" w:hAnsi="David"/>
          <w:sz w:val="24"/>
          <w:szCs w:val="24"/>
          <w:rtl/>
        </w:rPr>
        <w:t xml:space="preserve"> לפי חוק להסדר התדיינויות בסכסוכי משפחה, התשע"ה-2014, אין להגיש את התביעה לפני הגשת בקשה ליישוב סכסוך, פגישות המהו"ת ותום תקופת העיכוב. כדאי להגיש את הבקשה מהר, לפני שהנתבע יקדים.</w:t>
      </w:r>
    </w:p>
    <w:p>
      <w:pPr>
        <w:pStyle w:val="ListParagraph"/>
        <w:numPr>
          <w:ilvl w:val="0"/>
          <w:numId w:val="2"/>
        </w:numPr>
        <w:bidi/>
        <w:spacing w:after="60" w:line="340" w:lineRule="auto"/>
        <w:jc w:val="both"/>
      </w:pPr>
      <w:r>
        <w:rPr>
          <w:rFonts w:ascii="David" w:cs="David" w:eastAsia="David" w:hAnsi="David"/>
          <w:b/>
          <w:bCs/>
          <w:sz w:val="24"/>
          <w:szCs w:val="24"/>
          <w:rtl/>
        </w:rPr>
        <w:t xml:space="preserve">סמכות מקומית:</w:t>
      </w:r>
      <w:r>
        <w:rPr>
          <w:rFonts w:ascii="David" w:cs="David" w:eastAsia="David" w:hAnsi="David"/>
          <w:sz w:val="24"/>
          <w:szCs w:val="24"/>
          <w:rtl/>
        </w:rPr>
        <w:t xml:space="preserve"> הנתבע והדירה בנתניה, ולכן התביעה מוגשת לבית הדין הרבני האזורי נתניה.</w:t>
      </w:r>
    </w:p>
    <w:p>
      <w:pPr>
        <w:keepNext/>
        <w:bidi/>
        <w:spacing w:after="120" w:before="240" w:line="340" w:lineRule="auto"/>
        <w:jc w:val="start"/>
      </w:pPr>
      <w:r>
        <w:rPr>
          <w:rFonts w:ascii="David" w:cs="David" w:eastAsia="David" w:hAnsi="David"/>
          <w:b/>
          <w:bCs/>
          <w:sz w:val="24"/>
          <w:szCs w:val="24"/>
          <w:u w:val="single"/>
          <w:rtl/>
        </w:rPr>
        <w:t xml:space="preserve">ב. דמי שימוש ראויים - חשוב</w:t>
      </w:r>
    </w:p>
    <w:p>
      <w:pPr>
        <w:pStyle w:val="ListParagraph"/>
        <w:numPr>
          <w:ilvl w:val="0"/>
          <w:numId w:val="2"/>
        </w:numPr>
        <w:bidi/>
        <w:spacing w:after="60" w:line="340" w:lineRule="auto"/>
        <w:jc w:val="both"/>
      </w:pPr>
      <w:r>
        <w:rPr>
          <w:rFonts w:ascii="David" w:cs="David" w:eastAsia="David" w:hAnsi="David"/>
          <w:sz w:val="24"/>
          <w:szCs w:val="24"/>
          <w:rtl/>
        </w:rPr>
        <w:t xml:space="preserve">לפי בחירתכם, דמי השימוש </w:t>
      </w:r>
      <w:r>
        <w:rPr>
          <w:rFonts w:ascii="David" w:cs="David" w:eastAsia="David" w:hAnsi="David"/>
          <w:b/>
          <w:bCs/>
          <w:sz w:val="24"/>
          <w:szCs w:val="24"/>
          <w:rtl/>
        </w:rPr>
        <w:t xml:space="preserve">לא נכרכו</w:t>
      </w:r>
      <w:r>
        <w:rPr>
          <w:rFonts w:ascii="David" w:cs="David" w:eastAsia="David" w:hAnsi="David"/>
          <w:sz w:val="24"/>
          <w:szCs w:val="24"/>
          <w:rtl/>
        </w:rPr>
        <w:t xml:space="preserve">, והתובעת שומרת על זכותה לתבוע אותם בנפרד (סעיף 14).</w:t>
      </w:r>
    </w:p>
    <w:p>
      <w:pPr>
        <w:pStyle w:val="ListParagraph"/>
        <w:numPr>
          <w:ilvl w:val="0"/>
          <w:numId w:val="2"/>
        </w:numPr>
        <w:bidi/>
        <w:spacing w:after="60" w:line="340" w:lineRule="auto"/>
        <w:jc w:val="both"/>
      </w:pPr>
      <w:r>
        <w:rPr>
          <w:rFonts w:ascii="David" w:cs="David" w:eastAsia="David" w:hAnsi="David"/>
          <w:b/>
          <w:bCs/>
          <w:sz w:val="24"/>
          <w:szCs w:val="24"/>
          <w:rtl/>
        </w:rPr>
        <w:t xml:space="preserve">הסיכון:</w:t>
      </w:r>
      <w:r>
        <w:rPr>
          <w:rFonts w:ascii="David" w:cs="David" w:eastAsia="David" w:hAnsi="David"/>
          <w:sz w:val="24"/>
          <w:szCs w:val="24"/>
          <w:rtl/>
        </w:rPr>
        <w:t xml:space="preserve"> בדרך כלל דמי שימוש בין בני זוג נפסקים רק ממועד הדרישה הראשונה. כל חודש שעובר בלי דרישה עלול להיות חודש אבוד. </w:t>
      </w:r>
      <w:r>
        <w:rPr>
          <w:rFonts w:ascii="David" w:cs="David" w:eastAsia="David" w:hAnsi="David"/>
          <w:b/>
          <w:bCs/>
          <w:sz w:val="24"/>
          <w:szCs w:val="24"/>
          <w:rtl/>
        </w:rPr>
        <w:t xml:space="preserve">המלצה:</w:t>
      </w:r>
      <w:r>
        <w:rPr>
          <w:rFonts w:ascii="David" w:cs="David" w:eastAsia="David" w:hAnsi="David"/>
          <w:sz w:val="24"/>
          <w:szCs w:val="24"/>
          <w:rtl/>
        </w:rPr>
        <w:t xml:space="preserve"> לשלוח לנתבע כבר עכשיו מכתב דרישה רשמי לתשלום דמי שימוש, ולהגיש את התביעה בעניין בהקדם.</w:t>
      </w:r>
    </w:p>
    <w:p>
      <w:pPr>
        <w:pStyle w:val="ListParagraph"/>
        <w:numPr>
          <w:ilvl w:val="0"/>
          <w:numId w:val="2"/>
        </w:numPr>
        <w:bidi/>
        <w:spacing w:after="60" w:line="340" w:lineRule="auto"/>
        <w:jc w:val="both"/>
      </w:pPr>
      <w:r>
        <w:rPr>
          <w:rFonts w:ascii="David" w:cs="David" w:eastAsia="David" w:hAnsi="David"/>
          <w:sz w:val="24"/>
          <w:szCs w:val="24"/>
          <w:rtl/>
        </w:rPr>
        <w:t xml:space="preserve">סעיף 14 לחוק ההתיישנות קובע שתקופת הנישואין אינה נמנית בהתיישנות, כך שאין לחץ של התיישנות, אבל יש לחץ של מועד הדרישה.</w:t>
      </w:r>
    </w:p>
    <w:p>
      <w:pPr>
        <w:keepNext/>
        <w:bidi/>
        <w:spacing w:after="120" w:before="240" w:line="340" w:lineRule="auto"/>
        <w:jc w:val="start"/>
      </w:pPr>
      <w:r>
        <w:rPr>
          <w:rFonts w:ascii="David" w:cs="David" w:eastAsia="David" w:hAnsi="David"/>
          <w:b/>
          <w:bCs/>
          <w:sz w:val="24"/>
          <w:szCs w:val="24"/>
          <w:u w:val="single"/>
          <w:rtl/>
        </w:rPr>
        <w:t xml:space="preserve">ג. הוכחת הנישואין (אתיופיה, ללא תעודה)</w:t>
      </w:r>
    </w:p>
    <w:p>
      <w:pPr>
        <w:pStyle w:val="ListParagraph"/>
        <w:numPr>
          <w:ilvl w:val="0"/>
          <w:numId w:val="2"/>
        </w:numPr>
        <w:bidi/>
        <w:spacing w:after="60" w:line="340" w:lineRule="auto"/>
        <w:jc w:val="both"/>
      </w:pPr>
      <w:r>
        <w:rPr>
          <w:rFonts w:ascii="David" w:cs="David" w:eastAsia="David" w:hAnsi="David"/>
          <w:sz w:val="24"/>
          <w:szCs w:val="24"/>
          <w:rtl/>
        </w:rPr>
        <w:t xml:space="preserve">לפי סעיף 3 לחוק מרשם האוכלוסין, התשכ"ה-1965, רישום המצב האישי </w:t>
      </w:r>
      <w:r>
        <w:rPr>
          <w:rFonts w:ascii="David" w:cs="David" w:eastAsia="David" w:hAnsi="David"/>
          <w:b/>
          <w:bCs/>
          <w:sz w:val="24"/>
          <w:szCs w:val="24"/>
          <w:rtl/>
        </w:rPr>
        <w:t xml:space="preserve">אינו</w:t>
      </w:r>
      <w:r>
        <w:rPr>
          <w:rFonts w:ascii="David" w:cs="David" w:eastAsia="David" w:hAnsi="David"/>
          <w:sz w:val="24"/>
          <w:szCs w:val="24"/>
          <w:rtl/>
        </w:rPr>
        <w:t xml:space="preserve"> ראיה לכאורה לנכונותו. הראיה העיקרית תהיה הודאת שני הצדדים וחיים משותפים עשרות שנים עם שבעה ילדים. כדאי לברר מראש מי ערך את הנישואין, היכן ומתי, ואם יש עדים.</w:t>
      </w:r>
    </w:p>
    <w:p>
      <w:pPr>
        <w:keepNext/>
        <w:bidi/>
        <w:spacing w:after="120" w:before="240" w:line="340" w:lineRule="auto"/>
        <w:jc w:val="start"/>
      </w:pPr>
      <w:r>
        <w:rPr>
          <w:rFonts w:ascii="David" w:cs="David" w:eastAsia="David" w:hAnsi="David"/>
          <w:b/>
          <w:bCs/>
          <w:sz w:val="24"/>
          <w:szCs w:val="24"/>
          <w:u w:val="single"/>
          <w:rtl/>
        </w:rPr>
        <w:t xml:space="preserve">ד. שדות להשלמה</w:t>
      </w:r>
    </w:p>
    <w:p>
      <w:pPr>
        <w:pStyle w:val="ListParagraph"/>
        <w:numPr>
          <w:ilvl w:val="0"/>
          <w:numId w:val="2"/>
        </w:numPr>
        <w:bidi/>
        <w:spacing w:after="60" w:line="340" w:lineRule="auto"/>
        <w:jc w:val="both"/>
      </w:pPr>
      <w:r>
        <w:rPr>
          <w:rFonts w:ascii="David" w:cs="David" w:eastAsia="David" w:hAnsi="David"/>
          <w:sz w:val="24"/>
          <w:szCs w:val="24"/>
          <w:rtl/>
        </w:rPr>
        <w:t xml:space="preserve">פרטי הצדדים וב"כ; שנת הנישואין; שווי הדירה המוערך. אם יש משכנתא, להוסיף משפט בסעיף 3.</w:t>
      </w:r>
    </w:p>
    <w:p>
      <w:pPr>
        <w:pStyle w:val="ListParagraph"/>
        <w:numPr>
          <w:ilvl w:val="0"/>
          <w:numId w:val="2"/>
        </w:numPr>
        <w:bidi/>
        <w:spacing w:after="60" w:line="340" w:lineRule="auto"/>
        <w:jc w:val="both"/>
      </w:pPr>
      <w:r>
        <w:rPr>
          <w:rFonts w:ascii="David" w:cs="David" w:eastAsia="David" w:hAnsi="David"/>
          <w:b/>
          <w:bCs/>
          <w:sz w:val="24"/>
          <w:szCs w:val="24"/>
          <w:rtl/>
        </w:rPr>
        <w:t xml:space="preserve">סעיף 4 (האלימות):</w:t>
      </w:r>
      <w:r>
        <w:rPr>
          <w:rFonts w:ascii="David" w:cs="David" w:eastAsia="David" w:hAnsi="David"/>
          <w:sz w:val="24"/>
          <w:szCs w:val="24"/>
          <w:rtl/>
        </w:rPr>
        <w:t xml:space="preserve"> מבסס את עילת הגירושין ואת כנות התביעה. לפרט אירועים, מועדים משוערים ועדים, בקיצור.</w:t>
      </w:r>
    </w:p>
    <w:p>
      <w:pPr>
        <w:pStyle w:val="ListParagraph"/>
        <w:numPr>
          <w:ilvl w:val="0"/>
          <w:numId w:val="2"/>
        </w:numPr>
        <w:bidi/>
        <w:spacing w:after="60" w:line="340" w:lineRule="auto"/>
        <w:jc w:val="both"/>
      </w:pPr>
      <w:r>
        <w:rPr>
          <w:rFonts w:ascii="David" w:cs="David" w:eastAsia="David" w:hAnsi="David"/>
          <w:sz w:val="24"/>
          <w:szCs w:val="24"/>
          <w:rtl/>
        </w:rPr>
        <w:t xml:space="preserve">חודש ושנת העזיבה (סעיף 5); פרטי הליך צו ההרחקה ותוצאתו (סעיף 7); מספר תיק הבקשה ליישוב סכסוך (סעיף 20).</w:t>
      </w:r>
    </w:p>
    <w:p>
      <w:pPr>
        <w:keepNext/>
        <w:bidi/>
        <w:spacing w:after="120" w:before="240" w:line="340" w:lineRule="auto"/>
        <w:jc w:val="start"/>
      </w:pPr>
      <w:r>
        <w:rPr>
          <w:rFonts w:ascii="David" w:cs="David" w:eastAsia="David" w:hAnsi="David"/>
          <w:b/>
          <w:bCs/>
          <w:sz w:val="24"/>
          <w:szCs w:val="24"/>
          <w:u w:val="single"/>
          <w:rtl/>
        </w:rPr>
        <w:t xml:space="preserve">ה. הערות</w:t>
      </w:r>
    </w:p>
    <w:p>
      <w:pPr>
        <w:pStyle w:val="ListParagraph"/>
        <w:numPr>
          <w:ilvl w:val="0"/>
          <w:numId w:val="2"/>
        </w:numPr>
        <w:bidi/>
        <w:spacing w:after="60" w:line="340" w:lineRule="auto"/>
        <w:jc w:val="both"/>
      </w:pPr>
      <w:r>
        <w:rPr>
          <w:rFonts w:ascii="David" w:cs="David" w:eastAsia="David" w:hAnsi="David"/>
          <w:b/>
          <w:bCs/>
          <w:sz w:val="24"/>
          <w:szCs w:val="24"/>
          <w:rtl/>
        </w:rPr>
        <w:t xml:space="preserve">כתובה ואיזון משאבים לא נכרכו:</w:t>
      </w:r>
      <w:r>
        <w:rPr>
          <w:rFonts w:ascii="David" w:cs="David" w:eastAsia="David" w:hAnsi="David"/>
          <w:sz w:val="24"/>
          <w:szCs w:val="24"/>
          <w:rtl/>
        </w:rPr>
        <w:t xml:space="preserve"> הנתבע רשאי להגיש אותם לבית המשפט לענייני משפחה. אם יש פנסיה או חסכונות משמעותיים, כדאי לשקול לכרוך את איזון המשאבים.</w:t>
      </w:r>
    </w:p>
    <w:p>
      <w:pPr>
        <w:pStyle w:val="ListParagraph"/>
        <w:numPr>
          <w:ilvl w:val="0"/>
          <w:numId w:val="2"/>
        </w:numPr>
        <w:bidi/>
        <w:spacing w:after="60" w:line="340" w:lineRule="auto"/>
        <w:jc w:val="both"/>
      </w:pPr>
      <w:r>
        <w:rPr>
          <w:rFonts w:ascii="David" w:cs="David" w:eastAsia="David" w:hAnsi="David"/>
          <w:b/>
          <w:bCs/>
          <w:sz w:val="24"/>
          <w:szCs w:val="24"/>
          <w:rtl/>
        </w:rPr>
        <w:t xml:space="preserve">הפניות פנימיות</w:t>
      </w:r>
      <w:r>
        <w:rPr>
          <w:rFonts w:ascii="David" w:cs="David" w:eastAsia="David" w:hAnsi="David"/>
          <w:sz w:val="24"/>
          <w:szCs w:val="24"/>
          <w:rtl/>
        </w:rPr>
        <w:t xml:space="preserve"> (סעיפים 3, 4, 5, 7, 14, 20) נכונות לגרסה זו. אם יתווספו או יימחקו סעיפים, יש לעדכן אותן.</w:t>
      </w:r>
    </w:p>
    <w:sectPr>
      <w:footerReference w:type="default" r:id="rId7"/>
      <w:pgSz w:w="11906" w:h="16838" w:orient="portrait"/>
      <w:pgMar w:top="1417" w:right="1417" w:bottom="1417" w:left="141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bidi/>
      <w:jc w:val="center"/>
    </w:pPr>
    <w:r>
      <w:rPr>
        <w:rFonts w:ascii="David" w:cs="David" w:eastAsia="David" w:hAnsi="David"/>
        <w:sz w:val="20"/>
        <w:szCs w:val="20"/>
        <w:rtl/>
      </w:rPr>
      <w:t xml:space="preserve">עמוד </w:t>
    </w:r>
    <w:r>
      <w:rPr>
        <w:rFonts w:ascii="David" w:cs="David" w:eastAsia="David" w:hAnsi="David"/>
        <w:sz w:val="20"/>
        <w:szCs w:val="20"/>
        <w:rtl/>
      </w:rPr>
      <w:fldChar w:fldCharType="begin"/>
      <w:instrText xml:space="preserve">PAGE</w:instrText>
      <w:fldChar w:fldCharType="separate"/>
      <w:fldChar w:fldCharType="end"/>
    </w:r>
    <w:r>
      <w:rPr>
        <w:rFonts w:ascii="David" w:cs="David" w:eastAsia="David" w:hAnsi="David"/>
        <w:sz w:val="20"/>
        <w:szCs w:val="20"/>
        <w:rtl/>
      </w:rPr>
      <w:t xml:space="preserve"> מתוך </w:t>
    </w:r>
    <w:r>
      <w:rPr>
        <w:rFonts w:ascii="David" w:cs="David" w:eastAsia="David" w:hAnsi="David"/>
        <w:sz w:val="20"/>
        <w:szCs w:val="20"/>
        <w:rtl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suff w:val="tab"/>
      <w:lvlText w:val="%1."/>
      <w:lvlJc w:val="start"/>
      <w:pPr>
        <w:ind w:left="567" w:hanging="567"/>
      </w:pPr>
    </w:lvl>
    <w:lvl w:ilvl="1" w15:tentative="1">
      <w:start w:val="1"/>
      <w:numFmt w:val="decimal"/>
      <w:suff w:val="tab"/>
      <w:lvlText w:val="%1.%2."/>
      <w:lvlJc w:val="start"/>
      <w:pPr>
        <w:ind w:left="1134" w:hanging="567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David" w:cs="David" w:eastAsia="David" w:hAnsi="David"/>
        <w:sz w:val="24"/>
        <w:szCs w:val="24"/>
        <w:rtl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2026-10-15T06:54:10.913Z</dcterms:created>
  <dcterms:modified xsi:type="dcterms:W3CDTF">2026-10-15T06:54:10.924Z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