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Pr>
          <w:p>
            <w:pPr>
              <w:bidi/>
              <w:spacing w:after="60" w:line="340" w:lineRule="auto"/>
              <w:jc w:val="start"/>
            </w:pPr>
            <w:r>
              <w:rPr>
                <w:rFonts w:ascii="David" w:cs="David" w:eastAsia="David" w:hAnsi="David"/>
                <w:b/>
                <w:bCs/>
                <w:sz w:val="26"/>
                <w:szCs w:val="26"/>
                <w:rtl/>
              </w:rPr>
              <w:t xml:space="preserve">בבית הדין הרבני האזורי נתניה</w:t>
            </w:r>
          </w:p>
        </w:tc>
        <w:tc>
          <w:tcPr>
            <w:tcW w:type="dxa" w:w="4536"/>
            <w:tcBorders>
              <w:top w:val="none" w:color="FFFFFF" w:sz="0"/>
              <w:left w:val="none" w:color="FFFFFF" w:sz="0"/>
              <w:bottom w:val="none" w:color="FFFFFF" w:sz="0"/>
              <w:right w:val="none" w:color="FFFFFF" w:sz="0"/>
            </w:tcBorders>
          </w:tcPr>
          <w:p>
            <w:pPr>
              <w:bidi/>
              <w:spacing w:after="60" w:line="340" w:lineRule="auto"/>
              <w:jc w:val="end"/>
            </w:pPr>
            <w:r>
              <w:rPr>
                <w:rFonts w:ascii="David" w:cs="David" w:eastAsia="David" w:hAnsi="David"/>
                <w:b/>
                <w:bCs/>
                <w:sz w:val="26"/>
                <w:szCs w:val="26"/>
                <w:rtl/>
              </w:rPr>
              <w:t xml:space="preserve">תיק מס' </w:t>
            </w:r>
            <w:r>
              <w:rPr>
                <w:rFonts w:ascii="David" w:cs="David" w:eastAsia="David" w:hAnsi="David"/>
                <w:b/>
                <w:bCs/>
                <w:sz w:val="26"/>
                <w:szCs w:val="26"/>
                <w:highlight w:val="yellow"/>
                <w:highlightCs w:val="yellow"/>
                <w:rtl/>
              </w:rPr>
              <w:t xml:space="preserve">[__________]</w:t>
            </w:r>
          </w:p>
        </w:tc>
      </w:tr>
    </w:tbl>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none" w:color="FFFFFF" w:sz="0"/>
              <w:left w:val="none" w:color="FFFFFF" w:sz="0"/>
              <w:bottom w:val="none" w:color="FFFFFF" w:sz="0"/>
              <w:right w:val="none" w:color="FFFFFF" w:sz="0"/>
            </w:tcBorders>
          </w:tcPr>
          <w:p>
            <w:pPr>
              <w:bidi/>
              <w:spacing w:after="60" w:line="340" w:lineRule="auto"/>
              <w:jc w:val="start"/>
            </w:pPr>
            <w:r>
              <w:rPr>
                <w:rFonts w:ascii="David" w:cs="David" w:eastAsia="David" w:hAnsi="David"/>
                <w:b/>
                <w:bCs/>
                <w:sz w:val="24"/>
                <w:szCs w:val="24"/>
                <w:u w:val="single"/>
                <w:rtl/>
              </w:rPr>
              <w:t xml:space="preserve">התובעת:</w:t>
            </w:r>
          </w:p>
        </w:tc>
        <w:tc>
          <w:tcPr>
            <w:tcW w:type="dxa" w:w="7272"/>
            <w:tcBorders>
              <w:top w:val="none" w:color="FFFFFF" w:sz="0"/>
              <w:left w:val="none" w:color="FFFFFF" w:sz="0"/>
              <w:bottom w:val="none" w:color="FFFFFF" w:sz="0"/>
              <w:right w:val="none" w:color="FFFFFF" w:sz="0"/>
            </w:tcBorders>
          </w:tcPr>
          <w:p>
            <w:pPr>
              <w:bidi/>
              <w:spacing w:after="0" w:line="340" w:lineRule="auto"/>
              <w:jc w:val="start"/>
            </w:pPr>
            <w:r>
              <w:rPr>
                <w:rFonts w:ascii="David" w:cs="David" w:eastAsia="David" w:hAnsi="David"/>
                <w:sz w:val="24"/>
                <w:szCs w:val="24"/>
                <w:highlight w:val="yellow"/>
                <w:highlightCs w:val="yellow"/>
                <w:rtl/>
              </w:rPr>
              <w:t xml:space="preserve">[שם מלא]</w:t>
            </w:r>
            <w:r>
              <w:rPr>
                <w:rFonts w:ascii="David" w:cs="David" w:eastAsia="David" w:hAnsi="David"/>
                <w:sz w:val="24"/>
                <w:szCs w:val="24"/>
                <w:rtl/>
              </w:rPr>
              <w:t xml:space="preserve">, ת"ז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מרח'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נתניה</w:t>
            </w:r>
          </w:p>
          <w:p>
            <w:pPr>
              <w:bidi/>
              <w:spacing w:after="0" w:line="340" w:lineRule="auto"/>
              <w:jc w:val="start"/>
            </w:pPr>
            <w:r>
              <w:rPr>
                <w:rFonts w:ascii="David" w:cs="David" w:eastAsia="David" w:hAnsi="David"/>
                <w:sz w:val="24"/>
                <w:szCs w:val="24"/>
                <w:rtl/>
              </w:rPr>
              <w:t xml:space="preserve">ע"י ב"כ עו"ד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מרח'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טל'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דוא"ל </w:t>
            </w:r>
            <w:r>
              <w:rPr>
                <w:rFonts w:ascii="David" w:cs="David" w:eastAsia="David" w:hAnsi="David"/>
                <w:sz w:val="24"/>
                <w:szCs w:val="24"/>
                <w:highlight w:val="yellow"/>
                <w:highlightCs w:val="yellow"/>
                <w:rtl/>
              </w:rPr>
              <w:t xml:space="preserve">[_________]</w:t>
            </w:r>
          </w:p>
        </w:tc>
      </w:tr>
    </w:tbl>
    <w:p>
      <w:pPr>
        <w:bidi/>
        <w:spacing w:after="60" w:before="60" w:line="340" w:lineRule="auto"/>
        <w:jc w:val="center"/>
      </w:pPr>
      <w:r>
        <w:rPr>
          <w:rFonts w:ascii="David" w:cs="David" w:eastAsia="David" w:hAnsi="David"/>
          <w:b/>
          <w:bCs/>
          <w:sz w:val="24"/>
          <w:szCs w:val="24"/>
          <w:rtl/>
        </w:rPr>
        <w:t xml:space="preserve">- נ ג ד -</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7272"/>
      </w:tblGrid>
      <w:tr>
        <w:tc>
          <w:tcPr>
            <w:tcW w:type="dxa" w:w="1800"/>
            <w:tcBorders>
              <w:top w:val="none" w:color="FFFFFF" w:sz="0"/>
              <w:left w:val="none" w:color="FFFFFF" w:sz="0"/>
              <w:bottom w:val="none" w:color="FFFFFF" w:sz="0"/>
              <w:right w:val="none" w:color="FFFFFF" w:sz="0"/>
            </w:tcBorders>
          </w:tcPr>
          <w:p>
            <w:pPr>
              <w:bidi/>
              <w:spacing w:after="60" w:line="340" w:lineRule="auto"/>
              <w:jc w:val="start"/>
            </w:pPr>
            <w:r>
              <w:rPr>
                <w:rFonts w:ascii="David" w:cs="David" w:eastAsia="David" w:hAnsi="David"/>
                <w:b/>
                <w:bCs/>
                <w:sz w:val="24"/>
                <w:szCs w:val="24"/>
                <w:u w:val="single"/>
                <w:rtl/>
              </w:rPr>
              <w:t xml:space="preserve">הנתבע:</w:t>
            </w:r>
          </w:p>
        </w:tc>
        <w:tc>
          <w:tcPr>
            <w:tcW w:type="dxa" w:w="7272"/>
            <w:tcBorders>
              <w:top w:val="none" w:color="FFFFFF" w:sz="0"/>
              <w:left w:val="none" w:color="FFFFFF" w:sz="0"/>
              <w:bottom w:val="none" w:color="FFFFFF" w:sz="0"/>
              <w:right w:val="none" w:color="FFFFFF" w:sz="0"/>
            </w:tcBorders>
          </w:tcPr>
          <w:p>
            <w:pPr>
              <w:bidi/>
              <w:spacing w:after="0" w:line="340" w:lineRule="auto"/>
              <w:jc w:val="start"/>
            </w:pPr>
            <w:r>
              <w:rPr>
                <w:rFonts w:ascii="David" w:cs="David" w:eastAsia="David" w:hAnsi="David"/>
                <w:sz w:val="24"/>
                <w:szCs w:val="24"/>
                <w:highlight w:val="yellow"/>
                <w:highlightCs w:val="yellow"/>
                <w:rtl/>
              </w:rPr>
              <w:t xml:space="preserve">[שם מלא]</w:t>
            </w:r>
            <w:r>
              <w:rPr>
                <w:rFonts w:ascii="David" w:cs="David" w:eastAsia="David" w:hAnsi="David"/>
                <w:sz w:val="24"/>
                <w:szCs w:val="24"/>
                <w:rtl/>
              </w:rPr>
              <w:t xml:space="preserve">, ת"ז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מרח' נחום 25, דירה 17, נתניה</w:t>
            </w:r>
          </w:p>
        </w:tc>
      </w:tr>
    </w:tbl>
    <w:p>
      <w:pPr>
        <w:bidi/>
        <w:spacing w:after="240" w:before="240" w:line="340" w:lineRule="auto"/>
        <w:jc w:val="center"/>
      </w:pPr>
      <w:r>
        <w:rPr>
          <w:rFonts w:ascii="David" w:cs="David" w:eastAsia="David" w:hAnsi="David"/>
          <w:b/>
          <w:bCs/>
          <w:sz w:val="28"/>
          <w:szCs w:val="28"/>
          <w:u w:val="single"/>
          <w:rtl/>
        </w:rPr>
        <w:t xml:space="preserve">כתב תביעה לגירושין וכריכת פירוק שיתוף בדירת המגורים</w:t>
      </w:r>
    </w:p>
    <w:p>
      <w:pPr>
        <w:bidi/>
        <w:spacing w:after="60" w:line="340" w:lineRule="auto"/>
        <w:jc w:val="both"/>
      </w:pPr>
      <w:r>
        <w:rPr>
          <w:rFonts w:ascii="David" w:cs="David" w:eastAsia="David" w:hAnsi="David"/>
          <w:b/>
          <w:bCs/>
          <w:sz w:val="24"/>
          <w:szCs w:val="24"/>
          <w:rtl/>
        </w:rPr>
        <w:t xml:space="preserve">העניין הכרוך:</w:t>
      </w:r>
      <w:r>
        <w:rPr>
          <w:rFonts w:ascii="David" w:cs="David" w:eastAsia="David" w:hAnsi="David"/>
          <w:sz w:val="24"/>
          <w:szCs w:val="24"/>
          <w:rtl/>
        </w:rPr>
        <w:t xml:space="preserve"> פירוק השיתוף בדירה ברח' נחום 25, דירה 17, נתניה, הידועה כגוש 1533 חלקה 12 תת חלקה 4. </w:t>
      </w:r>
      <w:r>
        <w:rPr>
          <w:rFonts w:ascii="David" w:cs="David" w:eastAsia="David" w:hAnsi="David"/>
          <w:b/>
          <w:bCs/>
          <w:sz w:val="24"/>
          <w:szCs w:val="24"/>
          <w:rtl/>
        </w:rPr>
        <w:t xml:space="preserve">שווי הדירה (הערכה):</w:t>
      </w:r>
      <w:r>
        <w:rPr>
          <w:rFonts w:ascii="David" w:cs="David" w:eastAsia="David" w:hAnsi="David"/>
          <w:sz w:val="24"/>
          <w:szCs w:val="24"/>
          <w:rtl/>
        </w:rPr>
        <w:t xml:space="preserve"> </w:t>
      </w:r>
      <w:r>
        <w:rPr>
          <w:rFonts w:ascii="David" w:cs="David" w:eastAsia="David" w:hAnsi="David"/>
          <w:sz w:val="24"/>
          <w:szCs w:val="24"/>
          <w:highlight w:val="yellow"/>
          <w:highlightCs w:val="yellow"/>
          <w:rtl/>
        </w:rPr>
        <w:t xml:space="preserve">[_______]</w:t>
      </w:r>
      <w:r>
        <w:rPr>
          <w:rFonts w:ascii="David" w:cs="David" w:eastAsia="David" w:hAnsi="David"/>
          <w:sz w:val="24"/>
          <w:szCs w:val="24"/>
          <w:rtl/>
        </w:rPr>
        <w:t xml:space="preserve"> ש"ח.</w:t>
      </w:r>
    </w:p>
    <w:p>
      <w:pPr>
        <w:keepNext/>
        <w:bidi/>
        <w:spacing w:after="120" w:before="240" w:line="340" w:lineRule="auto"/>
        <w:jc w:val="start"/>
      </w:pPr>
      <w:r>
        <w:rPr>
          <w:rFonts w:ascii="David" w:cs="David" w:eastAsia="David" w:hAnsi="David"/>
          <w:b/>
          <w:bCs/>
          <w:sz w:val="24"/>
          <w:szCs w:val="24"/>
          <w:u w:val="single"/>
          <w:rtl/>
        </w:rPr>
        <w:t xml:space="preserve">א. העובדות</w:t>
      </w:r>
    </w:p>
    <w:p>
      <w:pPr>
        <w:pStyle w:val="ListParagraph"/>
        <w:numPr>
          <w:ilvl w:val="0"/>
          <w:numId w:val="2"/>
        </w:numPr>
        <w:bidi/>
        <w:spacing w:after="60" w:line="340" w:lineRule="auto"/>
        <w:jc w:val="both"/>
      </w:pPr>
      <w:r>
        <w:rPr>
          <w:rFonts w:ascii="David" w:cs="David" w:eastAsia="David" w:hAnsi="David"/>
          <w:sz w:val="24"/>
          <w:szCs w:val="24"/>
          <w:rtl/>
        </w:rPr>
        <w:t xml:space="preserve">הצדדים נישאו זה לזו באתיופיה, כדת משה וישראל, בשנת </w:t>
      </w:r>
      <w:r>
        <w:rPr>
          <w:rFonts w:ascii="David" w:cs="David" w:eastAsia="David" w:hAnsi="David"/>
          <w:sz w:val="24"/>
          <w:szCs w:val="24"/>
          <w:highlight w:val="yellow"/>
          <w:highlightCs w:val="yellow"/>
          <w:rtl/>
        </w:rPr>
        <w:t xml:space="preserve">[____]</w:t>
      </w:r>
      <w:r>
        <w:rPr>
          <w:rFonts w:ascii="David" w:cs="David" w:eastAsia="David" w:hAnsi="David"/>
          <w:sz w:val="24"/>
          <w:szCs w:val="24"/>
          <w:rtl/>
        </w:rPr>
        <w:t xml:space="preserve">, בטרם עלו לישראל. בידי הצדדים אין תעודת נישואין, שכן לנישואין שנערכו באתיופיה לא הונפקה תעודה. הצדדים רשומים כנשואים במרשם האוכלוסין, חיו יחד כבני זוג עשרות שנים ונולדו להם שבעה ילדים, ועובדת נישואיהם אינה שנויה במחלוקת. תמצית רישום ממרשם האוכלוסין מצורפת כ</w:t>
      </w:r>
      <w:r>
        <w:rPr>
          <w:rFonts w:ascii="David" w:cs="David" w:eastAsia="David" w:hAnsi="David"/>
          <w:b/>
          <w:bCs/>
          <w:sz w:val="24"/>
          <w:szCs w:val="24"/>
          <w:rtl/>
        </w:rPr>
        <w:t xml:space="preserve">נספח 1</w:t>
      </w:r>
      <w:r>
        <w:rPr>
          <w:rFonts w:ascii="David" w:cs="David" w:eastAsia="David" w:hAnsi="David"/>
          <w:sz w:val="24"/>
          <w:szCs w:val="24"/>
          <w:rtl/>
        </w:rPr>
        <w:t xml:space="preserve">.</w:t>
      </w:r>
    </w:p>
    <w:p>
      <w:pPr>
        <w:pStyle w:val="ListParagraph"/>
        <w:numPr>
          <w:ilvl w:val="0"/>
          <w:numId w:val="2"/>
        </w:numPr>
        <w:bidi/>
        <w:spacing w:after="60" w:line="340" w:lineRule="auto"/>
        <w:jc w:val="both"/>
      </w:pPr>
      <w:r>
        <w:rPr>
          <w:rFonts w:ascii="David" w:cs="David" w:eastAsia="David" w:hAnsi="David"/>
          <w:sz w:val="24"/>
          <w:szCs w:val="24"/>
          <w:rtl/>
        </w:rPr>
        <w:t xml:space="preserve">לצדדים שבעה ילדים משותפים, כולם בגירים.</w:t>
      </w:r>
    </w:p>
    <w:p>
      <w:pPr>
        <w:pStyle w:val="ListParagraph"/>
        <w:numPr>
          <w:ilvl w:val="0"/>
          <w:numId w:val="2"/>
        </w:numPr>
        <w:bidi/>
        <w:spacing w:after="60" w:line="340" w:lineRule="auto"/>
        <w:jc w:val="both"/>
      </w:pPr>
      <w:r>
        <w:rPr>
          <w:rFonts w:ascii="David" w:cs="David" w:eastAsia="David" w:hAnsi="David"/>
          <w:sz w:val="24"/>
          <w:szCs w:val="24"/>
          <w:rtl/>
        </w:rPr>
        <w:t xml:space="preserve">הצדדים הם הבעלים הרשומים, בחלקים שווים, של דירת המגורים ברח' נחום 25, דירה 17, נתניה, הידועה כגוש 1533 חלקה 12 תת חלקה 4 (להלן: "</w:t>
      </w:r>
      <w:r>
        <w:rPr>
          <w:rFonts w:ascii="David" w:cs="David" w:eastAsia="David" w:hAnsi="David"/>
          <w:b/>
          <w:bCs/>
          <w:sz w:val="24"/>
          <w:szCs w:val="24"/>
          <w:rtl/>
        </w:rPr>
        <w:t xml:space="preserve">הדירה</w:t>
      </w:r>
      <w:r>
        <w:rPr>
          <w:rFonts w:ascii="David" w:cs="David" w:eastAsia="David" w:hAnsi="David"/>
          <w:sz w:val="24"/>
          <w:szCs w:val="24"/>
          <w:rtl/>
        </w:rPr>
        <w:t xml:space="preserve">"). הדירה שימשה כבית המגורים של המשפחה. נסח רישום מצורף כ</w:t>
      </w:r>
      <w:r>
        <w:rPr>
          <w:rFonts w:ascii="David" w:cs="David" w:eastAsia="David" w:hAnsi="David"/>
          <w:b/>
          <w:bCs/>
          <w:sz w:val="24"/>
          <w:szCs w:val="24"/>
          <w:rtl/>
        </w:rPr>
        <w:t xml:space="preserve">נספח 2</w:t>
      </w:r>
      <w:r>
        <w:rPr>
          <w:rFonts w:ascii="David" w:cs="David" w:eastAsia="David" w:hAnsi="David"/>
          <w:sz w:val="24"/>
          <w:szCs w:val="24"/>
          <w:rtl/>
        </w:rPr>
        <w:t xml:space="preserve">.</w:t>
      </w:r>
    </w:p>
    <w:p>
      <w:pPr>
        <w:pStyle w:val="ListParagraph"/>
        <w:numPr>
          <w:ilvl w:val="0"/>
          <w:numId w:val="2"/>
        </w:numPr>
        <w:bidi/>
        <w:spacing w:after="60" w:line="340" w:lineRule="auto"/>
        <w:jc w:val="both"/>
      </w:pPr>
      <w:r>
        <w:rPr>
          <w:rFonts w:ascii="David" w:cs="David" w:eastAsia="David" w:hAnsi="David"/>
          <w:sz w:val="24"/>
          <w:szCs w:val="24"/>
          <w:rtl/>
        </w:rPr>
        <w:t xml:space="preserve">לאורך הנישואין נהג הנתבע באלימות כלפי התובעת </w:t>
      </w:r>
      <w:r>
        <w:rPr>
          <w:rFonts w:ascii="David" w:cs="David" w:eastAsia="David" w:hAnsi="David"/>
          <w:sz w:val="24"/>
          <w:szCs w:val="24"/>
          <w:highlight w:val="yellow"/>
          <w:highlightCs w:val="yellow"/>
          <w:rtl/>
        </w:rPr>
        <w:t xml:space="preserve">[לפרט בקצרה: סוג האלימות ואירועים בולטים]</w:t>
      </w:r>
      <w:r>
        <w:rPr>
          <w:rFonts w:ascii="David" w:cs="David" w:eastAsia="David" w:hAnsi="David"/>
          <w:sz w:val="24"/>
          <w:szCs w:val="24"/>
          <w:rtl/>
        </w:rPr>
        <w:t xml:space="preserve">. התובעת דיווחה על האלימות לעובדת הסוציאלית במחלקה לשירותים חברתיים ב</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w:t>
      </w:r>
    </w:p>
    <w:p>
      <w:pPr>
        <w:pStyle w:val="ListParagraph"/>
        <w:numPr>
          <w:ilvl w:val="0"/>
          <w:numId w:val="2"/>
        </w:numPr>
        <w:bidi/>
        <w:spacing w:after="60" w:line="340" w:lineRule="auto"/>
        <w:jc w:val="both"/>
      </w:pPr>
      <w:r>
        <w:rPr>
          <w:rFonts w:ascii="David" w:cs="David" w:eastAsia="David" w:hAnsi="David"/>
          <w:sz w:val="24"/>
          <w:szCs w:val="24"/>
          <w:rtl/>
        </w:rPr>
        <w:t xml:space="preserve">לפני כשבע שנים, ב</w:t>
      </w:r>
      <w:r>
        <w:rPr>
          <w:rFonts w:ascii="David" w:cs="David" w:eastAsia="David" w:hAnsi="David"/>
          <w:sz w:val="24"/>
          <w:szCs w:val="24"/>
          <w:highlight w:val="yellow"/>
          <w:highlightCs w:val="yellow"/>
          <w:rtl/>
        </w:rPr>
        <w:t xml:space="preserve">[חודש ושנה]</w:t>
      </w:r>
      <w:r>
        <w:rPr>
          <w:rFonts w:ascii="David" w:cs="David" w:eastAsia="David" w:hAnsi="David"/>
          <w:sz w:val="24"/>
          <w:szCs w:val="24"/>
          <w:rtl/>
        </w:rPr>
        <w:t xml:space="preserve">, נאלצה התובעת לעזוב את הדירה בשל אלימות הנתבע, ומאז היא מתגוררת בבית אמה בנתניה. העזיבה נכפתה עליה, ואין בה כל ויתור על זכויותיה בדירה.</w:t>
      </w:r>
    </w:p>
    <w:p>
      <w:pPr>
        <w:pStyle w:val="ListParagraph"/>
        <w:numPr>
          <w:ilvl w:val="0"/>
          <w:numId w:val="2"/>
        </w:numPr>
        <w:bidi/>
        <w:spacing w:after="60" w:line="340" w:lineRule="auto"/>
        <w:jc w:val="both"/>
      </w:pPr>
      <w:r>
        <w:rPr>
          <w:rFonts w:ascii="David" w:cs="David" w:eastAsia="David" w:hAnsi="David"/>
          <w:sz w:val="24"/>
          <w:szCs w:val="24"/>
          <w:rtl/>
        </w:rPr>
        <w:t xml:space="preserve">מאז מחזיק הנתבע בדירה לבדו. הוא הרחיק ממנה גם את ילדי הצדדים, ומתגורר בה לבדו מבלי ששילם לתובעת דבר עבור השימוש בחלקה.</w:t>
      </w:r>
    </w:p>
    <w:p>
      <w:pPr>
        <w:pStyle w:val="ListParagraph"/>
        <w:numPr>
          <w:ilvl w:val="0"/>
          <w:numId w:val="2"/>
        </w:numPr>
        <w:bidi/>
        <w:spacing w:after="60" w:line="340" w:lineRule="auto"/>
        <w:jc w:val="both"/>
      </w:pPr>
      <w:r>
        <w:rPr>
          <w:rFonts w:ascii="David" w:cs="David" w:eastAsia="David" w:hAnsi="David"/>
          <w:sz w:val="24"/>
          <w:szCs w:val="24"/>
          <w:rtl/>
        </w:rPr>
        <w:t xml:space="preserve">בשנת 2025 הגיש הנתבע לבית המשפט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בקשה לצו הרחקה נגד התובעת (ה"ט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במועד הדיון התקשר הנתבע והודיע כי אינו מעוניין להגיע, בטענה שאחיו חולה </w:t>
      </w:r>
      <w:r>
        <w:rPr>
          <w:rFonts w:ascii="David" w:cs="David" w:eastAsia="David" w:hAnsi="David"/>
          <w:sz w:val="24"/>
          <w:szCs w:val="24"/>
          <w:highlight w:val="yellow"/>
          <w:highlightCs w:val="yellow"/>
          <w:rtl/>
        </w:rPr>
        <w:t xml:space="preserve">[, והבקשה נמחקה]</w:t>
      </w:r>
      <w:r>
        <w:rPr>
          <w:rFonts w:ascii="David" w:cs="David" w:eastAsia="David" w:hAnsi="David"/>
          <w:sz w:val="24"/>
          <w:szCs w:val="24"/>
          <w:rtl/>
        </w:rPr>
        <w:t xml:space="preserve">. </w:t>
      </w:r>
      <w:r>
        <w:rPr>
          <w:rFonts w:ascii="David" w:cs="David" w:eastAsia="David" w:hAnsi="David"/>
          <w:b/>
          <w:bCs/>
          <w:sz w:val="24"/>
          <w:szCs w:val="24"/>
          <w:rtl/>
        </w:rPr>
        <w:t xml:space="preserve">נספח 3</w:t>
      </w:r>
      <w:r>
        <w:rPr>
          <w:rFonts w:ascii="David" w:cs="David" w:eastAsia="David" w:hAnsi="David"/>
          <w:sz w:val="24"/>
          <w:szCs w:val="24"/>
          <w:rtl/>
        </w:rPr>
        <w:t xml:space="preserve">. מי שחושש באמת לשלומו אינו נוטש את בקשתו ביום הדיון; הבקשה נועדה להבטיח שהתובעת לא תשוב לדירה.</w:t>
      </w:r>
    </w:p>
    <w:p>
      <w:pPr>
        <w:keepNext/>
        <w:bidi/>
        <w:spacing w:after="120" w:before="240" w:line="340" w:lineRule="auto"/>
        <w:jc w:val="start"/>
      </w:pPr>
      <w:r>
        <w:rPr>
          <w:rFonts w:ascii="David" w:cs="David" w:eastAsia="David" w:hAnsi="David"/>
          <w:b/>
          <w:bCs/>
          <w:sz w:val="24"/>
          <w:szCs w:val="24"/>
          <w:u w:val="single"/>
          <w:rtl/>
        </w:rPr>
        <w:t xml:space="preserve">ב. עילות הגירושין</w:t>
      </w:r>
    </w:p>
    <w:p>
      <w:pPr>
        <w:pStyle w:val="ListParagraph"/>
        <w:numPr>
          <w:ilvl w:val="0"/>
          <w:numId w:val="2"/>
        </w:numPr>
        <w:bidi/>
        <w:spacing w:after="60" w:line="340" w:lineRule="auto"/>
        <w:jc w:val="both"/>
      </w:pPr>
      <w:r>
        <w:rPr>
          <w:rFonts w:ascii="David" w:cs="David" w:eastAsia="David" w:hAnsi="David"/>
          <w:sz w:val="24"/>
          <w:szCs w:val="24"/>
          <w:rtl/>
        </w:rPr>
        <w:t xml:space="preserve">הצדדים חיים בנפרד כשבע שנים, ללא חיי אישות וללא כל סיכוי לשלום בית.</w:t>
      </w:r>
    </w:p>
    <w:p>
      <w:pPr>
        <w:pStyle w:val="ListParagraph"/>
        <w:numPr>
          <w:ilvl w:val="0"/>
          <w:numId w:val="2"/>
        </w:numPr>
        <w:bidi/>
        <w:spacing w:after="60" w:line="340" w:lineRule="auto"/>
        <w:jc w:val="both"/>
      </w:pPr>
      <w:r>
        <w:rPr>
          <w:rFonts w:ascii="David" w:cs="David" w:eastAsia="David" w:hAnsi="David"/>
          <w:sz w:val="24"/>
          <w:szCs w:val="24"/>
          <w:rtl/>
        </w:rPr>
        <w:t xml:space="preserve">בעל המכה את אשתו כופין אותו להוציא (רמ"א, אבן העזר, סימן קנד, סעיף ג). התובעת מואסת בנתבע מחמת אלימותו, ומאיסתה נשענת על עילה מבוררת.</w:t>
      </w:r>
    </w:p>
    <w:p>
      <w:pPr>
        <w:pStyle w:val="ListParagraph"/>
        <w:numPr>
          <w:ilvl w:val="0"/>
          <w:numId w:val="2"/>
        </w:numPr>
        <w:bidi/>
        <w:spacing w:after="60" w:line="340" w:lineRule="auto"/>
        <w:jc w:val="both"/>
      </w:pPr>
      <w:r>
        <w:rPr>
          <w:rFonts w:ascii="David" w:cs="David" w:eastAsia="David" w:hAnsi="David"/>
          <w:sz w:val="24"/>
          <w:szCs w:val="24"/>
          <w:rtl/>
        </w:rPr>
        <w:t xml:space="preserve">הנתבע עצמו ביקש בשנת 2025 להרחיק ממנו את התובעת, ואין לו כל טענה כנה לשלום בית.</w:t>
      </w:r>
    </w:p>
    <w:p>
      <w:pPr>
        <w:keepNext/>
        <w:bidi/>
        <w:spacing w:after="120" w:before="240" w:line="340" w:lineRule="auto"/>
        <w:jc w:val="start"/>
      </w:pPr>
      <w:r>
        <w:rPr>
          <w:rFonts w:ascii="David" w:cs="David" w:eastAsia="David" w:hAnsi="David"/>
          <w:b/>
          <w:bCs/>
          <w:sz w:val="24"/>
          <w:szCs w:val="24"/>
          <w:u w:val="single"/>
          <w:rtl/>
        </w:rPr>
        <w:t xml:space="preserve">ג. כריכת פירוק השיתוף בדירה</w:t>
      </w:r>
    </w:p>
    <w:p>
      <w:pPr>
        <w:pStyle w:val="ListParagraph"/>
        <w:numPr>
          <w:ilvl w:val="0"/>
          <w:numId w:val="2"/>
        </w:numPr>
        <w:bidi/>
        <w:spacing w:after="60" w:line="340" w:lineRule="auto"/>
        <w:jc w:val="both"/>
      </w:pPr>
      <w:r>
        <w:rPr>
          <w:rFonts w:ascii="David" w:cs="David" w:eastAsia="David" w:hAnsi="David"/>
          <w:sz w:val="24"/>
          <w:szCs w:val="24"/>
          <w:rtl/>
        </w:rPr>
        <w:t xml:space="preserve">התובעת כורכת בזאת </w:t>
      </w:r>
      <w:r>
        <w:rPr>
          <w:rFonts w:ascii="David" w:cs="David" w:eastAsia="David" w:hAnsi="David"/>
          <w:b/>
          <w:bCs/>
          <w:sz w:val="24"/>
          <w:szCs w:val="24"/>
          <w:rtl/>
        </w:rPr>
        <w:t xml:space="preserve">במפורש</w:t>
      </w:r>
      <w:r>
        <w:rPr>
          <w:rFonts w:ascii="David" w:cs="David" w:eastAsia="David" w:hAnsi="David"/>
          <w:sz w:val="24"/>
          <w:szCs w:val="24"/>
          <w:rtl/>
        </w:rPr>
        <w:t xml:space="preserve"> בתביעת הגירושין את פירוק השיתוף בדירה ברח' נחום 25, דירה 17, נתניה, הידועה כגוש 1533 חלקה 12 תת חלקה 4, לפי סעיף 3 לחוק שיפוט בתי דין רבניים (נישואין וגירושין), התשי"ג-1953.</w:t>
      </w:r>
    </w:p>
    <w:p>
      <w:pPr>
        <w:pStyle w:val="ListParagraph"/>
        <w:numPr>
          <w:ilvl w:val="0"/>
          <w:numId w:val="2"/>
        </w:numPr>
        <w:bidi/>
        <w:spacing w:after="60" w:line="340" w:lineRule="auto"/>
        <w:jc w:val="both"/>
      </w:pPr>
      <w:r>
        <w:rPr>
          <w:rFonts w:ascii="David" w:cs="David" w:eastAsia="David" w:hAnsi="David"/>
          <w:b/>
          <w:bCs/>
          <w:sz w:val="24"/>
          <w:szCs w:val="24"/>
          <w:rtl/>
        </w:rPr>
        <w:t xml:space="preserve">הכריכה נעשית כדין:</w:t>
      </w:r>
      <w:r>
        <w:rPr>
          <w:rFonts w:ascii="David" w:cs="David" w:eastAsia="David" w:hAnsi="David"/>
          <w:sz w:val="24"/>
          <w:szCs w:val="24"/>
          <w:rtl/>
        </w:rPr>
        <w:t xml:space="preserve"> היא נעשית בכתב התביעה עצמו, במפורש ובפירוט, ובידי התובעת שהיא היוזמת של הליך הגירושין; והדירה, שהייתה בית המגורים של המשפחה, היא עניין הכרוך מטבעו בפירוק הנישואין.</w:t>
      </w:r>
    </w:p>
    <w:p>
      <w:pPr>
        <w:pStyle w:val="ListParagraph"/>
        <w:numPr>
          <w:ilvl w:val="0"/>
          <w:numId w:val="2"/>
        </w:numPr>
        <w:bidi/>
        <w:spacing w:after="60" w:line="340" w:lineRule="auto"/>
        <w:jc w:val="both"/>
      </w:pPr>
      <w:r>
        <w:rPr>
          <w:rFonts w:ascii="David" w:cs="David" w:eastAsia="David" w:hAnsi="David"/>
          <w:b/>
          <w:bCs/>
          <w:sz w:val="24"/>
          <w:szCs w:val="24"/>
          <w:rtl/>
        </w:rPr>
        <w:t xml:space="preserve">תביעת הגירושין כנה:</w:t>
      </w:r>
      <w:r>
        <w:rPr>
          <w:rFonts w:ascii="David" w:cs="David" w:eastAsia="David" w:hAnsi="David"/>
          <w:sz w:val="24"/>
          <w:szCs w:val="24"/>
          <w:rtl/>
        </w:rPr>
        <w:t xml:space="preserve"> התובעת מבקשת את הגט ברצינות ובתום לב. הצדדים חיים בנפרד כשבע שנים, התובעת עזבה את הבית בשל אלימות הנתבע ואינה מבקשת לחזור אליו, והנתבע עצמו ביקש להרחיקה ממנו. אין מדובר בתביעה שנועדה לתפוס סמכות, אלא בבקשה אמיתית לסיים נישואין שהסתיימו הלכה למעשה.</w:t>
      </w:r>
    </w:p>
    <w:p>
      <w:pPr>
        <w:pStyle w:val="ListParagraph"/>
        <w:numPr>
          <w:ilvl w:val="0"/>
          <w:numId w:val="2"/>
        </w:numPr>
        <w:bidi/>
        <w:spacing w:after="60" w:line="340" w:lineRule="auto"/>
        <w:jc w:val="both"/>
      </w:pPr>
      <w:r>
        <w:rPr>
          <w:rFonts w:ascii="David" w:cs="David" w:eastAsia="David" w:hAnsi="David"/>
          <w:sz w:val="24"/>
          <w:szCs w:val="24"/>
          <w:rtl/>
        </w:rPr>
        <w:t xml:space="preserve">יתר העניינים, לרבות דמי שימוש ראויים בדירה, כתובה ואיזון משאבים, אינם נכרכים בתביעה זו, והתובעת שומרת על מלוא זכויותיה בהם.</w:t>
      </w:r>
    </w:p>
    <w:p>
      <w:pPr>
        <w:keepNext/>
        <w:bidi/>
        <w:spacing w:after="120" w:before="240" w:line="340" w:lineRule="auto"/>
        <w:jc w:val="start"/>
      </w:pPr>
      <w:r>
        <w:rPr>
          <w:rFonts w:ascii="David" w:cs="David" w:eastAsia="David" w:hAnsi="David"/>
          <w:b/>
          <w:bCs/>
          <w:sz w:val="24"/>
          <w:szCs w:val="24"/>
          <w:u w:val="single"/>
          <w:rtl/>
        </w:rPr>
        <w:t xml:space="preserve">ד. פירוק השיתוף בדירה</w:t>
      </w:r>
    </w:p>
    <w:p>
      <w:pPr>
        <w:pStyle w:val="ListParagraph"/>
        <w:numPr>
          <w:ilvl w:val="0"/>
          <w:numId w:val="2"/>
        </w:numPr>
        <w:bidi/>
        <w:spacing w:after="60" w:line="340" w:lineRule="auto"/>
        <w:jc w:val="both"/>
      </w:pPr>
      <w:r>
        <w:rPr>
          <w:rFonts w:ascii="David" w:cs="David" w:eastAsia="David" w:hAnsi="David"/>
          <w:sz w:val="24"/>
          <w:szCs w:val="24"/>
          <w:rtl/>
        </w:rPr>
        <w:t xml:space="preserve">כל שותף זכאי בכל עת לדרוש את פירוק השיתוף (סעיף 37 לחוק המקרקעין, התשכ"ט-1969), ובית הדין יכריע בכך לפי הדין האזרחי (בג"ץ 1000/92 </w:t>
      </w:r>
      <w:r>
        <w:rPr>
          <w:rFonts w:ascii="David" w:cs="David" w:eastAsia="David" w:hAnsi="David"/>
          <w:b/>
          <w:bCs/>
          <w:sz w:val="24"/>
          <w:szCs w:val="24"/>
          <w:rtl/>
        </w:rPr>
        <w:t xml:space="preserve">בבלי נ' בית הדין הרבני הגדול</w:t>
      </w:r>
      <w:r>
        <w:rPr>
          <w:rFonts w:ascii="David" w:cs="David" w:eastAsia="David" w:hAnsi="David"/>
          <w:sz w:val="24"/>
          <w:szCs w:val="24"/>
          <w:rtl/>
        </w:rPr>
        <w:t xml:space="preserve">, פ"ד מח(2) 221).</w:t>
      </w:r>
    </w:p>
    <w:p>
      <w:pPr>
        <w:pStyle w:val="ListParagraph"/>
        <w:numPr>
          <w:ilvl w:val="0"/>
          <w:numId w:val="2"/>
        </w:numPr>
        <w:bidi/>
        <w:spacing w:after="60" w:line="340" w:lineRule="auto"/>
        <w:jc w:val="both"/>
      </w:pPr>
      <w:r>
        <w:rPr>
          <w:rFonts w:ascii="David" w:cs="David" w:eastAsia="David" w:hAnsi="David"/>
          <w:sz w:val="24"/>
          <w:szCs w:val="24"/>
          <w:rtl/>
        </w:rPr>
        <w:t xml:space="preserve">הדירה היא דירת מגורים אחת שאינה ניתנת לחלוקה בעין, ולכן יש למכרה ולחלק את התמורה בין הצדדים בחלקים שווים (סעיף 40 לחוק המקרקעין).</w:t>
      </w:r>
    </w:p>
    <w:p>
      <w:pPr>
        <w:pStyle w:val="ListParagraph"/>
        <w:numPr>
          <w:ilvl w:val="0"/>
          <w:numId w:val="2"/>
        </w:numPr>
        <w:bidi/>
        <w:spacing w:after="60" w:line="340" w:lineRule="auto"/>
        <w:jc w:val="both"/>
      </w:pPr>
      <w:r>
        <w:rPr>
          <w:rFonts w:ascii="David" w:cs="David" w:eastAsia="David" w:hAnsi="David"/>
          <w:sz w:val="24"/>
          <w:szCs w:val="24"/>
          <w:rtl/>
        </w:rPr>
        <w:t xml:space="preserve">אין כל הצדקה לעכב את הפירוק: כל הילדים בגירים, הנתבע מתגורר בדירה לבדו, והתובעת נותרה כשבע שנים ללא בית משלה.</w:t>
      </w:r>
    </w:p>
    <w:p>
      <w:pPr>
        <w:pStyle w:val="ListParagraph"/>
        <w:numPr>
          <w:ilvl w:val="0"/>
          <w:numId w:val="2"/>
        </w:numPr>
        <w:bidi/>
        <w:spacing w:after="60" w:line="340" w:lineRule="auto"/>
        <w:jc w:val="both"/>
      </w:pPr>
      <w:r>
        <w:rPr>
          <w:rFonts w:ascii="David" w:cs="David" w:eastAsia="David" w:hAnsi="David"/>
          <w:sz w:val="24"/>
          <w:szCs w:val="24"/>
          <w:rtl/>
        </w:rPr>
        <w:t xml:space="preserve">התובעת לא תתנגד לרכישת חלקו של צד אחד בידי רעהו לפי שווי שיקבע שמאי, בתוך 60 ימים; ובהיעדר רכישה, תימכר הדירה באמצעות כונסי נכסים.</w:t>
      </w:r>
    </w:p>
    <w:p>
      <w:pPr>
        <w:keepNext/>
        <w:bidi/>
        <w:spacing w:after="120" w:before="240" w:line="340" w:lineRule="auto"/>
        <w:jc w:val="start"/>
      </w:pPr>
      <w:r>
        <w:rPr>
          <w:rFonts w:ascii="David" w:cs="David" w:eastAsia="David" w:hAnsi="David"/>
          <w:b/>
          <w:bCs/>
          <w:sz w:val="24"/>
          <w:szCs w:val="24"/>
          <w:u w:val="single"/>
          <w:rtl/>
        </w:rPr>
        <w:t xml:space="preserve">ה. סמכות והליך מקדים</w:t>
      </w:r>
    </w:p>
    <w:p>
      <w:pPr>
        <w:pStyle w:val="ListParagraph"/>
        <w:numPr>
          <w:ilvl w:val="0"/>
          <w:numId w:val="2"/>
        </w:numPr>
        <w:bidi/>
        <w:spacing w:after="60" w:line="340" w:lineRule="auto"/>
        <w:jc w:val="both"/>
      </w:pPr>
      <w:r>
        <w:rPr>
          <w:rFonts w:ascii="David" w:cs="David" w:eastAsia="David" w:hAnsi="David"/>
          <w:sz w:val="24"/>
          <w:szCs w:val="24"/>
          <w:rtl/>
        </w:rPr>
        <w:t xml:space="preserve">לבית הדין הנכבד הסמכות העניינית לפי סעיפים 1 ו-3 לחוק שיפוט בתי דין רבניים, והסמכות המקומית, שכן הנתבע מתגורר בנתניה והדירה, מקום המגורים המשותף האחרון, מצויה בנתניה.</w:t>
      </w:r>
    </w:p>
    <w:p>
      <w:pPr>
        <w:pStyle w:val="ListParagraph"/>
        <w:numPr>
          <w:ilvl w:val="0"/>
          <w:numId w:val="2"/>
        </w:numPr>
        <w:bidi/>
        <w:spacing w:after="60" w:line="340" w:lineRule="auto"/>
        <w:jc w:val="both"/>
      </w:pPr>
      <w:r>
        <w:rPr>
          <w:rFonts w:ascii="David" w:cs="David" w:eastAsia="David" w:hAnsi="David"/>
          <w:sz w:val="24"/>
          <w:szCs w:val="24"/>
          <w:rtl/>
        </w:rPr>
        <w:t xml:space="preserve">התביעה מוגשת לאחר הגשת בקשה ליישוב סכסוך (תיק </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ותום תקופת עיכוב ההליכים. </w:t>
      </w:r>
      <w:r>
        <w:rPr>
          <w:rFonts w:ascii="David" w:cs="David" w:eastAsia="David" w:hAnsi="David"/>
          <w:b/>
          <w:bCs/>
          <w:sz w:val="24"/>
          <w:szCs w:val="24"/>
          <w:rtl/>
        </w:rPr>
        <w:t xml:space="preserve">נספח 4</w:t>
      </w:r>
      <w:r>
        <w:rPr>
          <w:rFonts w:ascii="David" w:cs="David" w:eastAsia="David" w:hAnsi="David"/>
          <w:sz w:val="24"/>
          <w:szCs w:val="24"/>
          <w:rtl/>
        </w:rPr>
        <w:t xml:space="preserve">.</w:t>
      </w:r>
    </w:p>
    <w:p>
      <w:pPr>
        <w:keepNext/>
        <w:bidi/>
        <w:spacing w:after="120" w:before="240" w:line="340" w:lineRule="auto"/>
        <w:jc w:val="start"/>
      </w:pPr>
      <w:r>
        <w:rPr>
          <w:rFonts w:ascii="David" w:cs="David" w:eastAsia="David" w:hAnsi="David"/>
          <w:b/>
          <w:bCs/>
          <w:sz w:val="24"/>
          <w:szCs w:val="24"/>
          <w:u w:val="single"/>
          <w:rtl/>
        </w:rPr>
        <w:t xml:space="preserve">ו. הסעדים המבוקשים</w:t>
      </w:r>
    </w:p>
    <w:p>
      <w:pPr>
        <w:pStyle w:val="ListParagraph"/>
        <w:numPr>
          <w:ilvl w:val="0"/>
          <w:numId w:val="2"/>
        </w:numPr>
        <w:bidi/>
        <w:spacing w:after="60" w:line="340" w:lineRule="auto"/>
        <w:jc w:val="both"/>
      </w:pPr>
      <w:r>
        <w:rPr>
          <w:rFonts w:ascii="David" w:cs="David" w:eastAsia="David" w:hAnsi="David"/>
          <w:sz w:val="24"/>
          <w:szCs w:val="24"/>
          <w:rtl/>
        </w:rPr>
        <w:t xml:space="preserve">אשר על כן, מתבקש בית הדין הנכבד:</w:t>
      </w:r>
    </w:p>
    <w:p>
      <w:pPr>
        <w:pStyle w:val="ListParagraph"/>
        <w:numPr>
          <w:ilvl w:val="1"/>
          <w:numId w:val="2"/>
        </w:numPr>
        <w:bidi/>
        <w:spacing w:after="60" w:line="340" w:lineRule="auto"/>
        <w:jc w:val="both"/>
      </w:pPr>
      <w:r>
        <w:rPr>
          <w:rFonts w:ascii="David" w:cs="David" w:eastAsia="David" w:hAnsi="David"/>
          <w:sz w:val="24"/>
          <w:szCs w:val="24"/>
          <w:rtl/>
        </w:rPr>
        <w:t xml:space="preserve">לחייב את הנתבע ליתן לתובעת גט פיטורין.</w:t>
      </w:r>
    </w:p>
    <w:p>
      <w:pPr>
        <w:pStyle w:val="ListParagraph"/>
        <w:numPr>
          <w:ilvl w:val="1"/>
          <w:numId w:val="2"/>
        </w:numPr>
        <w:bidi/>
        <w:spacing w:after="60" w:line="340" w:lineRule="auto"/>
        <w:jc w:val="both"/>
      </w:pPr>
      <w:r>
        <w:rPr>
          <w:rFonts w:ascii="David" w:cs="David" w:eastAsia="David" w:hAnsi="David"/>
          <w:sz w:val="24"/>
          <w:szCs w:val="24"/>
          <w:rtl/>
        </w:rPr>
        <w:t xml:space="preserve">להורות על פירוק השיתוף בדירה ברח' נחום 25, דירה 17, נתניה, הידועה כגוש 1533 חלקה 12 תת חלקה 4, בדרך של מכירתה וחלוקת התמורה בין הצדדים בחלקים שווים, תוך מתן אפשרות לכל צד לרכוש את חלקו של רעהו לפי שווי שיקבע שמאי.</w:t>
      </w:r>
    </w:p>
    <w:p>
      <w:pPr>
        <w:pStyle w:val="ListParagraph"/>
        <w:numPr>
          <w:ilvl w:val="1"/>
          <w:numId w:val="2"/>
        </w:numPr>
        <w:bidi/>
        <w:spacing w:after="60" w:line="340" w:lineRule="auto"/>
        <w:jc w:val="both"/>
      </w:pPr>
      <w:r>
        <w:rPr>
          <w:rFonts w:ascii="David" w:cs="David" w:eastAsia="David" w:hAnsi="David"/>
          <w:sz w:val="24"/>
          <w:szCs w:val="24"/>
          <w:rtl/>
        </w:rPr>
        <w:t xml:space="preserve">למנות את באי כוח הצדדים ככונסי נכסים למכירת הדירה, בסמכויות מלאות, לרבות פינויה ומסירתה לרוכש כשהיא פנויה מכל אדם וחפץ.</w:t>
      </w:r>
    </w:p>
    <w:p>
      <w:pPr>
        <w:pStyle w:val="ListParagraph"/>
        <w:numPr>
          <w:ilvl w:val="1"/>
          <w:numId w:val="2"/>
        </w:numPr>
        <w:bidi/>
        <w:spacing w:after="60" w:line="340" w:lineRule="auto"/>
        <w:jc w:val="both"/>
      </w:pPr>
      <w:r>
        <w:rPr>
          <w:rFonts w:ascii="David" w:cs="David" w:eastAsia="David" w:hAnsi="David"/>
          <w:sz w:val="24"/>
          <w:szCs w:val="24"/>
          <w:rtl/>
        </w:rPr>
        <w:t xml:space="preserve">למנות שמאי מקרקעין מכריע לקביעת שווי הדירה.</w:t>
      </w:r>
    </w:p>
    <w:p>
      <w:pPr>
        <w:pStyle w:val="ListParagraph"/>
        <w:numPr>
          <w:ilvl w:val="1"/>
          <w:numId w:val="2"/>
        </w:numPr>
        <w:bidi/>
        <w:spacing w:after="60" w:line="340" w:lineRule="auto"/>
        <w:jc w:val="both"/>
      </w:pPr>
      <w:r>
        <w:rPr>
          <w:rFonts w:ascii="David" w:cs="David" w:eastAsia="David" w:hAnsi="David"/>
          <w:sz w:val="24"/>
          <w:szCs w:val="24"/>
          <w:rtl/>
        </w:rPr>
        <w:t xml:space="preserve">להורות למחלקה לשירותים חברתיים ב</w:t>
      </w:r>
      <w:r>
        <w:rPr>
          <w:rFonts w:ascii="David" w:cs="David" w:eastAsia="David" w:hAnsi="David"/>
          <w:sz w:val="24"/>
          <w:szCs w:val="24"/>
          <w:highlight w:val="yellow"/>
          <w:highlightCs w:val="yellow"/>
          <w:rtl/>
        </w:rPr>
        <w:t xml:space="preserve">[_________]</w:t>
      </w:r>
      <w:r>
        <w:rPr>
          <w:rFonts w:ascii="David" w:cs="David" w:eastAsia="David" w:hAnsi="David"/>
          <w:sz w:val="24"/>
          <w:szCs w:val="24"/>
          <w:rtl/>
        </w:rPr>
        <w:t xml:space="preserve"> להעביר לבית הדין את הרישומים בעניין פניית התובעת; התובעת מוותרת על החיסיון בעניין זה.</w:t>
      </w:r>
    </w:p>
    <w:p>
      <w:pPr>
        <w:pStyle w:val="ListParagraph"/>
        <w:numPr>
          <w:ilvl w:val="1"/>
          <w:numId w:val="2"/>
        </w:numPr>
        <w:bidi/>
        <w:spacing w:after="60" w:line="340" w:lineRule="auto"/>
        <w:jc w:val="both"/>
      </w:pPr>
      <w:r>
        <w:rPr>
          <w:rFonts w:ascii="David" w:cs="David" w:eastAsia="David" w:hAnsi="David"/>
          <w:sz w:val="24"/>
          <w:szCs w:val="24"/>
          <w:rtl/>
        </w:rPr>
        <w:t xml:space="preserve">לחייב את הנתבע בהוצאות ההליך ובשכר טרחת עורך דין.</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Pr>
          <w:p>
            <w:pPr>
              <w:bidi/>
              <w:spacing w:after="0" w:line="340" w:lineRule="auto"/>
              <w:jc w:val="center"/>
            </w:pPr>
          </w:p>
          <w:p>
            <w:pPr>
              <w:bidi/>
              <w:spacing w:after="0" w:line="340" w:lineRule="auto"/>
              <w:jc w:val="center"/>
            </w:pPr>
            <w:r>
              <w:rPr>
                <w:rFonts w:ascii="David" w:cs="David" w:eastAsia="David" w:hAnsi="David"/>
                <w:sz w:val="24"/>
                <w:szCs w:val="24"/>
                <w:rtl/>
              </w:rPr>
              <w:t xml:space="preserve">__________________</w:t>
            </w:r>
          </w:p>
          <w:p>
            <w:pPr>
              <w:bidi/>
              <w:spacing w:after="0" w:line="340" w:lineRule="auto"/>
              <w:jc w:val="center"/>
            </w:pPr>
            <w:r>
              <w:rPr>
                <w:rFonts w:ascii="David" w:cs="David" w:eastAsia="David" w:hAnsi="David"/>
                <w:sz w:val="24"/>
                <w:szCs w:val="24"/>
                <w:rtl/>
              </w:rPr>
              <w:t xml:space="preserve">התובעת</w:t>
            </w:r>
          </w:p>
        </w:tc>
        <w:tc>
          <w:tcPr>
            <w:tcW w:type="dxa" w:w="4536"/>
            <w:tcBorders>
              <w:top w:val="none" w:color="FFFFFF" w:sz="0"/>
              <w:left w:val="none" w:color="FFFFFF" w:sz="0"/>
              <w:bottom w:val="none" w:color="FFFFFF" w:sz="0"/>
              <w:right w:val="none" w:color="FFFFFF" w:sz="0"/>
            </w:tcBorders>
          </w:tcPr>
          <w:p>
            <w:pPr>
              <w:bidi/>
              <w:spacing w:after="0" w:line="340" w:lineRule="auto"/>
              <w:jc w:val="center"/>
            </w:pPr>
          </w:p>
          <w:p>
            <w:pPr>
              <w:bidi/>
              <w:spacing w:after="0" w:line="340" w:lineRule="auto"/>
              <w:jc w:val="center"/>
            </w:pPr>
            <w:r>
              <w:rPr>
                <w:rFonts w:ascii="David" w:cs="David" w:eastAsia="David" w:hAnsi="David"/>
                <w:sz w:val="24"/>
                <w:szCs w:val="24"/>
                <w:rtl/>
              </w:rPr>
              <w:t xml:space="preserve">__________________</w:t>
            </w:r>
          </w:p>
          <w:p>
            <w:pPr>
              <w:bidi/>
              <w:spacing w:after="0" w:line="340" w:lineRule="auto"/>
              <w:jc w:val="center"/>
            </w:pPr>
            <w:r>
              <w:rPr>
                <w:rFonts w:ascii="David" w:cs="David" w:eastAsia="David" w:hAnsi="David"/>
                <w:sz w:val="24"/>
                <w:szCs w:val="24"/>
                <w:rtl/>
              </w:rPr>
              <w:t xml:space="preserve">ב"כ התובעת, עו"ד </w:t>
            </w:r>
            <w:r>
              <w:rPr>
                <w:rFonts w:ascii="David" w:cs="David" w:eastAsia="David" w:hAnsi="David"/>
                <w:sz w:val="24"/>
                <w:szCs w:val="24"/>
                <w:highlight w:val="yellow"/>
                <w:highlightCs w:val="yellow"/>
                <w:rtl/>
              </w:rPr>
              <w:t xml:space="preserve">[_________]</w:t>
            </w:r>
          </w:p>
        </w:tc>
      </w:tr>
    </w:tbl>
    <w:p>
      <w:pPr>
        <w:bidi/>
        <w:spacing w:after="60" w:line="340" w:lineRule="auto"/>
        <w:jc w:val="start"/>
      </w:pPr>
      <w:r>
        <w:rPr>
          <w:rFonts w:ascii="David" w:cs="David" w:eastAsia="David" w:hAnsi="David"/>
          <w:sz w:val="24"/>
          <w:szCs w:val="24"/>
          <w:rtl/>
        </w:rPr>
        <w:t xml:space="preserve">תאריך: </w:t>
      </w:r>
      <w:r>
        <w:rPr>
          <w:rFonts w:ascii="David" w:cs="David" w:eastAsia="David" w:hAnsi="David"/>
          <w:sz w:val="24"/>
          <w:szCs w:val="24"/>
          <w:highlight w:val="yellow"/>
          <w:highlightCs w:val="yellow"/>
          <w:rtl/>
        </w:rPr>
        <w:t xml:space="preserve">[_________]</w:t>
      </w:r>
    </w:p>
    <w:p>
      <w:pPr>
        <w:bidi/>
        <w:spacing w:after="60" w:line="340" w:lineRule="auto"/>
        <w:jc w:val="start"/>
      </w:pPr>
      <w:r>
        <w:rPr>
          <w:rFonts w:ascii="David" w:cs="David" w:eastAsia="David" w:hAnsi="David"/>
          <w:b/>
          <w:bCs/>
          <w:sz w:val="24"/>
          <w:szCs w:val="24"/>
          <w:rtl/>
        </w:rPr>
        <w:t xml:space="preserve">נספחים:</w:t>
      </w:r>
      <w:r>
        <w:rPr>
          <w:rFonts w:ascii="David" w:cs="David" w:eastAsia="David" w:hAnsi="David"/>
          <w:sz w:val="24"/>
          <w:szCs w:val="24"/>
          <w:rtl/>
        </w:rPr>
        <w:t xml:space="preserve"> (1) תמצית רישום ממרשם האוכלוסין; (2) נסח רישום הדירה; (3) מסמכי הליך צו ההרחקה; (4) אישור הגשת בקשה ליישוב סכסוך; (5) ייפוי כוח.</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t xml:space="preserve">עמוד </w:t>
    </w:r>
    <w:r>
      <w:rPr>
        <w:rFonts w:ascii="David" w:cs="David" w:eastAsia="David" w:hAnsi="David"/>
        <w:sz w:val="20"/>
        <w:szCs w:val="20"/>
        <w:rtl/>
      </w:rPr>
      <w:fldChar w:fldCharType="begin"/>
      <w:instrText xml:space="preserve">PAGE</w:instrText>
      <w:fldChar w:fldCharType="separate"/>
      <w:fldChar w:fldCharType="end"/>
    </w:r>
    <w:r>
      <w:rPr>
        <w:rFonts w:ascii="David" w:cs="David" w:eastAsia="David" w:hAnsi="David"/>
        <w:sz w:val="20"/>
        <w:szCs w:val="20"/>
        <w:rtl/>
      </w:rPr>
      <w:t xml:space="preserve"> מתוך </w:t>
    </w:r>
    <w:r>
      <w:rPr>
        <w:rFonts w:ascii="David" w:cs="David" w:eastAsia="David" w:hAnsi="David"/>
        <w:sz w:val="20"/>
        <w:szCs w:val="20"/>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lvl>
    <w:lvl w:ilvl="1" w15:tentative="1">
      <w:start w:val="1"/>
      <w:numFmt w:val="decimal"/>
      <w:suff w:val="tab"/>
      <w:lvlText w:val="%1.%2."/>
      <w:lvlJc w:val="start"/>
      <w:pPr>
        <w:ind w:left="1134"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2026-10-15T06:54:11.022Z</dcterms:created>
  <dcterms:modified xsi:type="dcterms:W3CDTF">2026-10-15T06:54:11.022Z</dcterms:modified>
</cp:coreProperties>
</file>

<file path=docProps/custom.xml><?xml version="1.0" encoding="utf-8"?>
<Properties xmlns="http://schemas.openxmlformats.org/officeDocument/2006/custom-properties" xmlns:vt="http://schemas.openxmlformats.org/officeDocument/2006/docPropsVTypes"/>
</file>