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40" w:before="0"/>
        <w:jc w:val="right"/>
      </w:pPr>
      <w:r>
        <w:rPr>
          <w:rFonts w:ascii="David" w:hAnsi="David" w:cs="David" w:eastAsia="David"/>
          <w:b/>
          <w:sz w:val="24"/>
          <w:u w:val="none"/>
          <w:szCs w:val="24"/>
          <w:rtl w:val="1"/>
          <w:bCs/>
        </w:rPr>
        <w:t>בבית הדין הרבני האזורי ב____________</w:t>
      </w:r>
    </w:p>
    <w:p>
      <w:pPr>
        <w:bidi w:val="1"/>
        <w:spacing w:line="360" w:lineRule="auto" w:after="200" w:before="0"/>
        <w:jc w:val="right"/>
      </w:pPr>
      <w:r>
        <w:rPr>
          <w:rFonts w:ascii="David" w:hAnsi="David" w:cs="David" w:eastAsia="David"/>
          <w:b/>
          <w:sz w:val="24"/>
          <w:u w:val="none"/>
          <w:szCs w:val="24"/>
          <w:rtl w:val="1"/>
          <w:bCs/>
        </w:rPr>
        <w:t>תיק מס' ____________</w:t>
      </w:r>
    </w:p>
    <w:p>
      <w:pPr>
        <w:bidi w:val="1"/>
        <w:spacing w:line="360" w:lineRule="auto" w:after="0" w:before="0"/>
        <w:jc w:val="right"/>
      </w:pPr>
      <w:r>
        <w:rPr>
          <w:rFonts w:ascii="David" w:hAnsi="David" w:cs="David" w:eastAsia="David"/>
          <w:b w:val="0"/>
          <w:sz w:val="24"/>
          <w:u w:val="none"/>
          <w:szCs w:val="24"/>
          <w:rtl w:val="1"/>
        </w:rPr>
        <w:t>המבקשת:</w:t>
        <w:tab/>
        <w:t>____________, ת"ז ____________</w:t>
      </w:r>
    </w:p>
    <w:p>
      <w:pPr>
        <w:bidi w:val="1"/>
        <w:spacing w:line="360" w:lineRule="auto" w:after="120" w:before="0"/>
        <w:jc w:val="right"/>
      </w:pPr>
      <w:r>
        <w:rPr>
          <w:rFonts w:ascii="David" w:hAnsi="David" w:cs="David" w:eastAsia="David"/>
          <w:b w:val="0"/>
          <w:sz w:val="24"/>
          <w:u w:val="none"/>
          <w:szCs w:val="24"/>
          <w:rtl w:val="1"/>
        </w:rPr>
        <w:t>(להלן: "המבקשת")</w:t>
      </w:r>
    </w:p>
    <w:p>
      <w:pPr>
        <w:bidi w:val="1"/>
        <w:spacing w:line="360" w:lineRule="auto" w:after="120" w:before="0"/>
        <w:jc w:val="center"/>
      </w:pPr>
      <w:r>
        <w:rPr>
          <w:rFonts w:ascii="David" w:hAnsi="David" w:cs="David" w:eastAsia="David"/>
          <w:b/>
          <w:sz w:val="24"/>
          <w:u w:val="none"/>
          <w:szCs w:val="24"/>
          <w:rtl w:val="1"/>
          <w:bCs/>
        </w:rPr>
        <w:t>- נ ג ד -</w:t>
      </w:r>
    </w:p>
    <w:p>
      <w:pPr>
        <w:bidi w:val="1"/>
        <w:spacing w:line="360" w:lineRule="auto" w:after="0" w:before="0"/>
        <w:jc w:val="right"/>
      </w:pPr>
      <w:r>
        <w:rPr>
          <w:rFonts w:ascii="David" w:hAnsi="David" w:cs="David" w:eastAsia="David"/>
          <w:b w:val="0"/>
          <w:sz w:val="24"/>
          <w:u w:val="none"/>
          <w:szCs w:val="24"/>
          <w:rtl w:val="1"/>
        </w:rPr>
        <w:t>המשיב:</w:t>
        <w:tab/>
        <w:t>____________, ת"ז ____________</w:t>
      </w:r>
    </w:p>
    <w:p>
      <w:pPr>
        <w:bidi w:val="1"/>
        <w:spacing w:line="360" w:lineRule="auto" w:after="240" w:before="0"/>
        <w:jc w:val="right"/>
      </w:pPr>
      <w:r>
        <w:rPr>
          <w:rFonts w:ascii="David" w:hAnsi="David" w:cs="David" w:eastAsia="David"/>
          <w:b w:val="0"/>
          <w:sz w:val="24"/>
          <w:u w:val="none"/>
          <w:szCs w:val="24"/>
          <w:rtl w:val="1"/>
        </w:rPr>
        <w:t>(להלן: "המשיב")</w:t>
      </w:r>
    </w:p>
    <w:p>
      <w:pPr>
        <w:bidi w:val="1"/>
        <w:spacing w:line="360" w:lineRule="auto" w:after="240" w:before="120"/>
        <w:jc w:val="center"/>
      </w:pPr>
      <w:r>
        <w:rPr>
          <w:rFonts w:ascii="David" w:hAnsi="David" w:cs="David" w:eastAsia="David"/>
          <w:b/>
          <w:sz w:val="30"/>
          <w:u w:val="single"/>
          <w:szCs w:val="30"/>
          <w:rtl w:val="1"/>
          <w:bCs/>
          <w:u w:val="single"/>
        </w:rPr>
        <w:t>תגובת המשיב לבקשת המבקשת להשבת מחצית ההוצאות בגין הילדים</w:t>
      </w:r>
    </w:p>
    <w:p>
      <w:pPr>
        <w:bidi w:val="1"/>
        <w:spacing w:line="360" w:lineRule="auto" w:after="200" w:before="0"/>
        <w:jc w:val="both"/>
      </w:pPr>
      <w:r>
        <w:rPr>
          <w:rFonts w:ascii="David" w:hAnsi="David" w:cs="David" w:eastAsia="David"/>
          <w:b w:val="0"/>
          <w:sz w:val="24"/>
          <w:u w:val="none"/>
          <w:szCs w:val="24"/>
          <w:rtl w:val="1"/>
        </w:rPr>
        <w:t>בהתאם להחלטת כבוד בית הדין הנכבד, ולאחר שהומצאה למשיב בקשת המבקשת להשבת מחצית ההוצאות הנטענות בגין הילדים (להלן: "הבקשה"), מתכבד המשיב להגיש בזאת את תגובתו לבקשה. כבוד בית הדין הנכבד מתבקש בזאת לדחות את הבקשה על כל חלקיה, ולחייב את המבקשת בהוצאות המשיב, ואלו נימוקי התגובה:</w:t>
      </w:r>
    </w:p>
    <w:p>
      <w:pPr>
        <w:keepNext/>
        <w:bidi w:val="1"/>
        <w:spacing w:line="360" w:lineRule="auto" w:after="120" w:before="200"/>
        <w:jc w:val="right"/>
      </w:pPr>
      <w:r>
        <w:rPr>
          <w:rFonts w:ascii="David" w:hAnsi="David" w:cs="David" w:eastAsia="David"/>
          <w:b/>
          <w:sz w:val="24"/>
          <w:u w:val="single"/>
          <w:szCs w:val="24"/>
          <w:rtl w:val="1"/>
          <w:bCs/>
          <w:u w:val="single"/>
        </w:rPr>
        <w:t>פתח דבר</w:t>
      </w:r>
    </w:p>
    <w:p>
      <w:pPr>
        <w:bidi w:val="1"/>
        <w:spacing w:line="360" w:lineRule="auto" w:after="160"/>
        <w:ind w:left="425" w:hanging="425"/>
        <w:jc w:val="both"/>
      </w:pPr>
      <w:r>
        <w:rPr>
          <w:rFonts w:ascii="David" w:hAnsi="David" w:cs="David" w:eastAsia="David"/>
          <w:b w:val="0"/>
          <w:sz w:val="24"/>
          <w:u w:val="none"/>
          <w:szCs w:val="24"/>
          <w:rtl w:val="1"/>
        </w:rPr>
        <w:t>1.</w:t>
        <w:tab/>
      </w:r>
      <w:r>
        <w:rPr>
          <w:rFonts w:ascii="David" w:hAnsi="David" w:cs="David" w:eastAsia="David"/>
          <w:b w:val="0"/>
          <w:sz w:val="24"/>
          <w:u w:val="none"/>
          <w:szCs w:val="24"/>
          <w:rtl w:val="1"/>
        </w:rPr>
        <w:t>בפתח הדברים ייאמר: הבקשה דנא, כפי שהוגשה, אינה אלא בקשה סתמית, כללית ונעדרת כל פירוט או אסמכתא, המתעלמת מן העובדה הפשוטה שהמשיב הוא הנושא — מאז ומעולם ועד עצם היום הזה — בעיקר נטל ההוצאות בגין הילדים. משכך, ומן הטעמים שיפורטו להלן, דין הבקשה להידחות על כל חלקיה.</w:t>
      </w:r>
    </w:p>
    <w:p>
      <w:pPr>
        <w:bidi w:val="1"/>
        <w:spacing w:line="360" w:lineRule="auto" w:after="160"/>
        <w:ind w:left="425" w:hanging="425"/>
        <w:jc w:val="both"/>
      </w:pPr>
      <w:r>
        <w:rPr>
          <w:rFonts w:ascii="David" w:hAnsi="David" w:cs="David" w:eastAsia="David"/>
          <w:b w:val="0"/>
          <w:sz w:val="24"/>
          <w:u w:val="none"/>
          <w:szCs w:val="24"/>
          <w:rtl w:val="1"/>
        </w:rPr>
        <w:t>2.</w:t>
        <w:tab/>
      </w:r>
      <w:r>
        <w:rPr>
          <w:rFonts w:ascii="David" w:hAnsi="David" w:cs="David" w:eastAsia="David"/>
          <w:b w:val="0"/>
          <w:sz w:val="24"/>
          <w:u w:val="none"/>
          <w:szCs w:val="24"/>
          <w:rtl w:val="1"/>
        </w:rPr>
        <w:t>ודוק; המבקשת עותרת להשבת "מחצית ההוצאות" בגין הילדים, אלא שאין בבקשתה ולו ראשית פירוט — לא נקבו בה סכומים, לא צוינו בה מועדים, לא הובחן בה בין סוגי ההוצאות, ולא צורפה לה ולו אסמכתא אחת התומכת בהוצאה כלשהי. בבקשה כאמור, נעדרת תשתית עובדתית וראייתית, אין בית הדין הנכבד יכול להיזקק, וממילא לא ניתן להיעתר לה.</w:t>
      </w:r>
    </w:p>
    <w:p>
      <w:pPr>
        <w:keepNext/>
        <w:bidi w:val="1"/>
        <w:spacing w:line="360" w:lineRule="auto" w:after="120" w:before="200"/>
        <w:jc w:val="right"/>
      </w:pPr>
      <w:r>
        <w:rPr>
          <w:rFonts w:ascii="David" w:hAnsi="David" w:cs="David" w:eastAsia="David"/>
          <w:b/>
          <w:sz w:val="24"/>
          <w:u w:val="single"/>
          <w:szCs w:val="24"/>
          <w:rtl w:val="1"/>
          <w:bCs/>
          <w:u w:val="single"/>
        </w:rPr>
        <w:t>הבקשה נעדרת פירוט ואסמכתאות — ודינה להידחות ולו מטעם זה בלבד</w:t>
      </w:r>
    </w:p>
    <w:p>
      <w:pPr>
        <w:bidi w:val="1"/>
        <w:spacing w:line="360" w:lineRule="auto" w:after="160"/>
        <w:ind w:left="425" w:hanging="425"/>
        <w:jc w:val="both"/>
      </w:pPr>
      <w:r>
        <w:rPr>
          <w:rFonts w:ascii="David" w:hAnsi="David" w:cs="David" w:eastAsia="David"/>
          <w:b w:val="0"/>
          <w:sz w:val="24"/>
          <w:u w:val="none"/>
          <w:szCs w:val="24"/>
          <w:rtl w:val="1"/>
        </w:rPr>
        <w:t>3.</w:t>
        <w:tab/>
      </w:r>
      <w:r>
        <w:rPr>
          <w:rFonts w:ascii="David" w:hAnsi="David" w:cs="David" w:eastAsia="David"/>
          <w:b w:val="0"/>
          <w:sz w:val="24"/>
          <w:u w:val="none"/>
          <w:szCs w:val="24"/>
          <w:rtl w:val="1"/>
        </w:rPr>
        <w:t>הלכה נודעת היא, כי המבקש סעד כספי של השבה או של השתתפות בהוצאות — עליו הנטל להוכיח את עצם ההוצאה, את שיעורה, ואת היותה הוצאה שיש בה כדי לחייב את הצד שכנגד במחציתה. נטל זה מוטל על המבקשת, והמבקשת בלבד.</w:t>
      </w:r>
    </w:p>
    <w:p>
      <w:pPr>
        <w:bidi w:val="1"/>
        <w:spacing w:line="360" w:lineRule="auto" w:after="160"/>
        <w:ind w:left="425" w:hanging="425"/>
        <w:jc w:val="both"/>
      </w:pPr>
      <w:r>
        <w:rPr>
          <w:rFonts w:ascii="David" w:hAnsi="David" w:cs="David" w:eastAsia="David"/>
          <w:b w:val="0"/>
          <w:sz w:val="24"/>
          <w:u w:val="none"/>
          <w:szCs w:val="24"/>
          <w:rtl w:val="1"/>
        </w:rPr>
        <w:t>4.</w:t>
        <w:tab/>
      </w:r>
      <w:r>
        <w:rPr>
          <w:rFonts w:ascii="David" w:hAnsi="David" w:cs="David" w:eastAsia="David"/>
          <w:b w:val="0"/>
          <w:sz w:val="24"/>
          <w:u w:val="none"/>
          <w:szCs w:val="24"/>
          <w:rtl w:val="1"/>
        </w:rPr>
        <w:t>בענייננו, לא זו בלבד שהמבקשת לא הרימה נטל זה, אלא שכלל לא ניסתה להרימו. הבקשה נעדרת כל פירוט של ההוצאות הנטענות — מהותן, מועדן וסכומן — ולא צורפו לה קבלות, חשבוניות או כל אסמכתא אחרת. תמהני כיצד מבקשת המבקשת מבית הדין הנכבד לחייב את המשיב בהשבת "מחצית" הוצאות אשר כלל לא פורטו ולא הוכחו. לא יאומן כי יסופר.</w:t>
      </w:r>
    </w:p>
    <w:p>
      <w:pPr>
        <w:bidi w:val="1"/>
        <w:spacing w:line="360" w:lineRule="auto" w:after="160"/>
        <w:ind w:left="425" w:hanging="425"/>
        <w:jc w:val="both"/>
      </w:pPr>
      <w:r>
        <w:rPr>
          <w:rFonts w:ascii="David" w:hAnsi="David" w:cs="David" w:eastAsia="David"/>
          <w:b w:val="0"/>
          <w:sz w:val="24"/>
          <w:u w:val="none"/>
          <w:szCs w:val="24"/>
          <w:rtl w:val="1"/>
        </w:rPr>
        <w:t>5.</w:t>
        <w:tab/>
      </w:r>
      <w:r>
        <w:rPr>
          <w:rFonts w:ascii="David" w:hAnsi="David" w:cs="David" w:eastAsia="David"/>
          <w:b w:val="0"/>
          <w:sz w:val="24"/>
          <w:u w:val="none"/>
          <w:szCs w:val="24"/>
          <w:rtl w:val="1"/>
        </w:rPr>
        <w:t>זאת ועוד; משהוגשה בקשה נעדרת פירוט ואסמכתאות, אין המשיב יכול אף להתגונן מפניה כדבעי, שכן אין הוא יודע אילו הוצאות נטענות, אימתי הוצאו, בגין מה, ומכוח מה. די בכך כשלעצמו כדי להורות על דחיית הבקשה.</w:t>
      </w:r>
    </w:p>
    <w:p>
      <w:pPr>
        <w:keepNext/>
        <w:bidi w:val="1"/>
        <w:spacing w:line="360" w:lineRule="auto" w:after="120" w:before="200"/>
        <w:jc w:val="right"/>
      </w:pPr>
      <w:r>
        <w:rPr>
          <w:rFonts w:ascii="David" w:hAnsi="David" w:cs="David" w:eastAsia="David"/>
          <w:b/>
          <w:sz w:val="24"/>
          <w:u w:val="single"/>
          <w:szCs w:val="24"/>
          <w:rtl w:val="1"/>
          <w:bCs/>
          <w:u w:val="single"/>
        </w:rPr>
        <w:t>המשיב הוא הנושא העיקרי בנטל ההוצאות בגין הילדים</w:t>
      </w:r>
    </w:p>
    <w:p>
      <w:pPr>
        <w:bidi w:val="1"/>
        <w:spacing w:line="360" w:lineRule="auto" w:after="160"/>
        <w:ind w:left="425" w:hanging="425"/>
        <w:jc w:val="both"/>
      </w:pPr>
      <w:r>
        <w:rPr>
          <w:rFonts w:ascii="David" w:hAnsi="David" w:cs="David" w:eastAsia="David"/>
          <w:b w:val="0"/>
          <w:sz w:val="24"/>
          <w:u w:val="none"/>
          <w:szCs w:val="24"/>
          <w:rtl w:val="1"/>
        </w:rPr>
        <w:t>6.</w:t>
        <w:tab/>
      </w:r>
      <w:r>
        <w:rPr>
          <w:rFonts w:ascii="David" w:hAnsi="David" w:cs="David" w:eastAsia="David"/>
          <w:b w:val="0"/>
          <w:sz w:val="24"/>
          <w:u w:val="none"/>
          <w:szCs w:val="24"/>
          <w:rtl w:val="1"/>
        </w:rPr>
        <w:t>ולגופם של דברים — הבקשה מתעלמת, במופגן, מן המציאות כהווייתה. המשיב הוא שנשא ונושא, מאז ומעולם, בעיקר נטל ההוצאות בגין הילדים, וזאת בנוסף על ההוצאות השוטפות שהוא נושא בהן דבר יום ביומו.</w:t>
      </w:r>
    </w:p>
    <w:p>
      <w:pPr>
        <w:bidi w:val="1"/>
        <w:spacing w:line="360" w:lineRule="auto" w:after="160"/>
        <w:ind w:left="425" w:hanging="425"/>
        <w:jc w:val="both"/>
      </w:pPr>
      <w:r>
        <w:rPr>
          <w:rFonts w:ascii="David" w:hAnsi="David" w:cs="David" w:eastAsia="David"/>
          <w:b w:val="0"/>
          <w:sz w:val="24"/>
          <w:u w:val="none"/>
          <w:szCs w:val="24"/>
          <w:rtl w:val="1"/>
        </w:rPr>
        <w:t>7.</w:t>
        <w:tab/>
      </w:r>
      <w:r>
        <w:rPr>
          <w:rFonts w:ascii="David" w:hAnsi="David" w:cs="David" w:eastAsia="David"/>
          <w:b w:val="0"/>
          <w:sz w:val="24"/>
          <w:u w:val="none"/>
          <w:szCs w:val="24"/>
          <w:rtl w:val="1"/>
        </w:rPr>
        <w:t>כך, ומבלי למצות: המשיב משלם מדי חודש בחודשו את התשלומים לקופת החולים בגין הילדים — ואף בגין המבקשת עצמה — עד עצם היום הזה. ודוק; המבקשת נהנית, הלכה למעשה, מכיסו של המשיב, ובד בבד עותרת היא לחייבו ב"מחצית" הוצאות מעורפלות שלא פורטו.</w:t>
      </w:r>
    </w:p>
    <w:p>
      <w:pPr>
        <w:bidi w:val="1"/>
        <w:spacing w:line="360" w:lineRule="auto" w:after="160"/>
        <w:ind w:left="425" w:hanging="425"/>
        <w:jc w:val="both"/>
      </w:pPr>
      <w:r>
        <w:rPr>
          <w:rFonts w:ascii="David" w:hAnsi="David" w:cs="David" w:eastAsia="David"/>
          <w:b w:val="0"/>
          <w:sz w:val="24"/>
          <w:u w:val="none"/>
          <w:szCs w:val="24"/>
          <w:rtl w:val="1"/>
        </w:rPr>
        <w:t>8.</w:t>
        <w:tab/>
      </w:r>
      <w:r>
        <w:rPr>
          <w:rFonts w:ascii="David" w:hAnsi="David" w:cs="David" w:eastAsia="David"/>
          <w:b w:val="0"/>
          <w:sz w:val="24"/>
          <w:u w:val="none"/>
          <w:szCs w:val="24"/>
          <w:rtl w:val="1"/>
        </w:rPr>
        <w:t>יתרה מכך, המשיב הוא הנושא, במלואן, בהוצאות הגן של בנו הקטין, עילי.</w:t>
      </w:r>
    </w:p>
    <w:p>
      <w:pPr>
        <w:bidi w:val="1"/>
        <w:spacing w:line="360" w:lineRule="auto" w:after="160"/>
        <w:ind w:left="425" w:hanging="425"/>
        <w:jc w:val="both"/>
      </w:pPr>
      <w:r>
        <w:rPr>
          <w:rFonts w:ascii="David" w:hAnsi="David" w:cs="David" w:eastAsia="David"/>
          <w:b w:val="0"/>
          <w:sz w:val="24"/>
          <w:u w:val="none"/>
          <w:szCs w:val="24"/>
          <w:rtl w:val="1"/>
        </w:rPr>
        <w:t>9.</w:t>
        <w:tab/>
      </w:r>
      <w:r>
        <w:rPr>
          <w:rFonts w:ascii="David" w:hAnsi="David" w:cs="David" w:eastAsia="David"/>
          <w:b w:val="0"/>
          <w:sz w:val="24"/>
          <w:u w:val="none"/>
          <w:szCs w:val="24"/>
          <w:rtl w:val="1"/>
        </w:rPr>
        <w:t>לא זו אף זו — המשיב הוא הנוטל את הילדים בחגים, בחופשות ובטיולים בארץ, מבלה עמם, לוקחם למסעדות, ונושא במלוא ההוצאות הכרוכות בכך — כל זאת ללא כל השתתפות מצד המבקשת, ומבלי שדרש ממנה, ולו פעם אחת, השבת מחצית מן ההוצאות הללו.</w:t>
      </w:r>
    </w:p>
    <w:p>
      <w:pPr>
        <w:keepNext/>
        <w:bidi w:val="1"/>
        <w:spacing w:line="360" w:lineRule="auto" w:after="120" w:before="200"/>
        <w:jc w:val="right"/>
      </w:pPr>
      <w:r>
        <w:rPr>
          <w:rFonts w:ascii="David" w:hAnsi="David" w:cs="David" w:eastAsia="David"/>
          <w:b/>
          <w:sz w:val="24"/>
          <w:u w:val="single"/>
          <w:szCs w:val="24"/>
          <w:rtl w:val="1"/>
          <w:bCs/>
          <w:u w:val="single"/>
        </w:rPr>
        <w:t>על חוסר תום הלב וחוסר ההדדיות שביסוד הבקשה</w:t>
      </w:r>
    </w:p>
    <w:p>
      <w:pPr>
        <w:bidi w:val="1"/>
        <w:spacing w:line="360" w:lineRule="auto" w:after="160"/>
        <w:ind w:left="425" w:hanging="425"/>
        <w:jc w:val="both"/>
      </w:pPr>
      <w:r>
        <w:rPr>
          <w:rFonts w:ascii="David" w:hAnsi="David" w:cs="David" w:eastAsia="David"/>
          <w:b w:val="0"/>
          <w:sz w:val="24"/>
          <w:u w:val="none"/>
          <w:szCs w:val="24"/>
          <w:rtl w:val="1"/>
        </w:rPr>
        <w:t>10.</w:t>
        <w:tab/>
      </w:r>
      <w:r>
        <w:rPr>
          <w:rFonts w:ascii="David" w:hAnsi="David" w:cs="David" w:eastAsia="David"/>
          <w:b w:val="0"/>
          <w:sz w:val="24"/>
          <w:u w:val="none"/>
          <w:szCs w:val="24"/>
          <w:rtl w:val="1"/>
        </w:rPr>
        <w:t>הנה כי כן, בעוד המשיב נושא בעין יפה ובלב שלם בעיקר נטל ההוצאות בגין הילדים, ואינו מנהל עם המבקשת חשבונות, מוצאת המבקשת לנכון להתחשבן עמו על כל דבר ועניין, ולעתור להשבת "מחצית" הוצאות שכלל לא פורטו.</w:t>
      </w:r>
    </w:p>
    <w:p>
      <w:pPr>
        <w:bidi w:val="1"/>
        <w:spacing w:line="360" w:lineRule="auto" w:after="160"/>
        <w:ind w:left="425" w:hanging="425"/>
        <w:jc w:val="both"/>
      </w:pPr>
      <w:r>
        <w:rPr>
          <w:rFonts w:ascii="David" w:hAnsi="David" w:cs="David" w:eastAsia="David"/>
          <w:b w:val="0"/>
          <w:sz w:val="24"/>
          <w:u w:val="none"/>
          <w:szCs w:val="24"/>
          <w:rtl w:val="1"/>
        </w:rPr>
        <w:t>11.</w:t>
        <w:tab/>
      </w:r>
      <w:r>
        <w:rPr>
          <w:rFonts w:ascii="David" w:hAnsi="David" w:cs="David" w:eastAsia="David"/>
          <w:b w:val="0"/>
          <w:sz w:val="24"/>
          <w:u w:val="none"/>
          <w:szCs w:val="24"/>
          <w:rtl w:val="1"/>
        </w:rPr>
        <w:t>ודוק; הבקשה לוקה בחוסר תום לב מובהק ובהיעדר ניקיון כפיים. מי שעותר להשבת מחצית ההוצאות, מן הדין שינהג במידה שבה הוא מבקש שינהגו כלפיו — ולא היא. המבקשת מעולם לא נשאה במחצית ההוצאות שנושא בהן המשיב — לא בקופת החולים, לא בגן, לא בחגים ובטיולים, ולא במסעדות — ואף על פי כן מבקשת היא לחייב את המשיב בהשבת מחצית הוצאותיה הנטענות. תמהני.</w:t>
      </w:r>
    </w:p>
    <w:p>
      <w:pPr>
        <w:bidi w:val="1"/>
        <w:spacing w:line="360" w:lineRule="auto" w:after="160"/>
        <w:ind w:left="425" w:hanging="425"/>
        <w:jc w:val="both"/>
      </w:pPr>
      <w:r>
        <w:rPr>
          <w:rFonts w:ascii="David" w:hAnsi="David" w:cs="David" w:eastAsia="David"/>
          <w:b w:val="0"/>
          <w:sz w:val="24"/>
          <w:u w:val="none"/>
          <w:szCs w:val="24"/>
          <w:rtl w:val="1"/>
        </w:rPr>
        <w:t>12.</w:t>
        <w:tab/>
      </w:r>
      <w:r>
        <w:rPr>
          <w:rFonts w:ascii="David" w:hAnsi="David" w:cs="David" w:eastAsia="David"/>
          <w:b w:val="0"/>
          <w:sz w:val="24"/>
          <w:u w:val="none"/>
          <w:szCs w:val="24"/>
          <w:rtl w:val="1"/>
        </w:rPr>
        <w:t>למעלה מן הצורך יצוין, כי ככל שיתברר שהמשיב נשא בפועל בהוצאות העולות על חלקו, שומר הוא על מלוא זכויותיו לעתור להשבתן ו/או לקיזוזן כנגד כל סכום שייפסק, ככל שייפסק.</w:t>
      </w:r>
    </w:p>
    <w:p>
      <w:pPr>
        <w:keepNext/>
        <w:bidi w:val="1"/>
        <w:spacing w:line="360" w:lineRule="auto" w:after="120" w:before="200"/>
        <w:jc w:val="right"/>
      </w:pPr>
      <w:r>
        <w:rPr>
          <w:rFonts w:ascii="David" w:hAnsi="David" w:cs="David" w:eastAsia="David"/>
          <w:b/>
          <w:sz w:val="24"/>
          <w:u w:val="single"/>
          <w:szCs w:val="24"/>
          <w:rtl w:val="1"/>
          <w:bCs/>
          <w:u w:val="single"/>
        </w:rPr>
        <w:t>משפטית</w:t>
      </w:r>
    </w:p>
    <w:p>
      <w:pPr>
        <w:bidi w:val="1"/>
        <w:spacing w:line="360" w:lineRule="auto" w:after="160"/>
        <w:ind w:left="425" w:hanging="425"/>
        <w:jc w:val="both"/>
      </w:pPr>
      <w:r>
        <w:rPr>
          <w:rFonts w:ascii="David" w:hAnsi="David" w:cs="David" w:eastAsia="David"/>
          <w:b w:val="0"/>
          <w:sz w:val="24"/>
          <w:u w:val="none"/>
          <w:szCs w:val="24"/>
          <w:rtl w:val="1"/>
        </w:rPr>
        <w:t>13.</w:t>
        <w:tab/>
      </w:r>
      <w:r>
        <w:rPr>
          <w:rFonts w:ascii="David" w:hAnsi="David" w:cs="David" w:eastAsia="David"/>
          <w:b w:val="0"/>
          <w:sz w:val="24"/>
          <w:u w:val="none"/>
          <w:szCs w:val="24"/>
          <w:rtl w:val="1"/>
        </w:rPr>
        <w:t>כלל נקוט בידינו, ויסוד מוסד הוא בדין, כי "המוציא מחברו עליו הראיה". המבקשת — המבקשת להוציא מן המשיב — עליה הנטל להוכיח את בקשתה על כל פרטיה ודקדוקיה: עצם ההוצאה, שיעורה, ומועדה. משלא עמדה המבקשת בנטל זה, ואף לא ניסתה לעמוד בו, דין בקשתה להידחות.</w:t>
      </w:r>
    </w:p>
    <w:p>
      <w:pPr>
        <w:bidi w:val="1"/>
        <w:spacing w:line="360" w:lineRule="auto" w:after="160"/>
        <w:ind w:left="425" w:hanging="425"/>
        <w:jc w:val="both"/>
      </w:pPr>
      <w:r>
        <w:rPr>
          <w:rFonts w:ascii="David" w:hAnsi="David" w:cs="David" w:eastAsia="David"/>
          <w:b w:val="0"/>
          <w:sz w:val="24"/>
          <w:u w:val="none"/>
          <w:szCs w:val="24"/>
          <w:rtl w:val="1"/>
        </w:rPr>
        <w:t>14.</w:t>
        <w:tab/>
      </w:r>
      <w:r>
        <w:rPr>
          <w:rFonts w:ascii="David" w:hAnsi="David" w:cs="David" w:eastAsia="David"/>
          <w:b w:val="0"/>
          <w:sz w:val="24"/>
          <w:u w:val="none"/>
          <w:szCs w:val="24"/>
          <w:rtl w:val="1"/>
        </w:rPr>
        <w:t>זאת ועוד; משעסקינן בהשבה, שומה היה על המבקשת להצביע על תשתית מדויקת ומאומתת באסמכתאות. משלא עשתה כן, אין בפני בית הדין הנכבד כל אמצעי לכמת את הסכום הנטען, וממילא לא ניתן להיעתר לבקשה.</w:t>
      </w:r>
    </w:p>
    <w:p>
      <w:pPr>
        <w:keepNext/>
        <w:bidi w:val="1"/>
        <w:spacing w:line="360" w:lineRule="auto" w:after="120" w:before="200"/>
        <w:jc w:val="right"/>
      </w:pPr>
      <w:r>
        <w:rPr>
          <w:rFonts w:ascii="David" w:hAnsi="David" w:cs="David" w:eastAsia="David"/>
          <w:b/>
          <w:sz w:val="24"/>
          <w:u w:val="single"/>
          <w:szCs w:val="24"/>
          <w:rtl w:val="1"/>
          <w:bCs/>
          <w:u w:val="single"/>
        </w:rPr>
        <w:t>סיכום</w:t>
      </w:r>
    </w:p>
    <w:p>
      <w:pPr>
        <w:bidi w:val="1"/>
        <w:spacing w:line="360" w:lineRule="auto" w:after="160"/>
        <w:ind w:left="425" w:hanging="425"/>
        <w:jc w:val="both"/>
      </w:pPr>
      <w:r>
        <w:rPr>
          <w:rFonts w:ascii="David" w:hAnsi="David" w:cs="David" w:eastAsia="David"/>
          <w:b w:val="0"/>
          <w:sz w:val="24"/>
          <w:u w:val="none"/>
          <w:szCs w:val="24"/>
          <w:rtl w:val="1"/>
        </w:rPr>
        <w:t>15.</w:t>
        <w:tab/>
      </w:r>
      <w:r>
        <w:rPr>
          <w:rFonts w:ascii="David" w:hAnsi="David" w:cs="David" w:eastAsia="David"/>
          <w:b w:val="0"/>
          <w:sz w:val="24"/>
          <w:u w:val="none"/>
          <w:szCs w:val="24"/>
          <w:rtl w:val="1"/>
        </w:rPr>
        <w:t>אשר על כן, ולאור כל המקובץ לעיל:</w:t>
      </w:r>
    </w:p>
    <w:p>
      <w:pPr>
        <w:bidi w:val="1"/>
        <w:spacing w:line="360" w:lineRule="auto" w:after="120"/>
        <w:ind w:left="850" w:hanging="425"/>
        <w:jc w:val="both"/>
      </w:pPr>
      <w:r>
        <w:rPr>
          <w:rFonts w:ascii="David" w:hAnsi="David" w:cs="David" w:eastAsia="David"/>
          <w:b w:val="0"/>
          <w:sz w:val="24"/>
          <w:u w:val="none"/>
          <w:szCs w:val="24"/>
          <w:rtl w:val="1"/>
        </w:rPr>
        <w:t>א.</w:t>
        <w:tab/>
      </w:r>
      <w:r>
        <w:rPr>
          <w:rFonts w:ascii="David" w:hAnsi="David" w:cs="David" w:eastAsia="David"/>
          <w:b w:val="0"/>
          <w:sz w:val="24"/>
          <w:u w:val="none"/>
          <w:szCs w:val="24"/>
          <w:rtl w:val="1"/>
        </w:rPr>
        <w:t>הבקשה נעדרת כל פירוט ואסמכתא, ודינה להידחות ולו מטעם זה בלבד;</w:t>
      </w:r>
    </w:p>
    <w:p>
      <w:pPr>
        <w:bidi w:val="1"/>
        <w:spacing w:line="360" w:lineRule="auto" w:after="120"/>
        <w:ind w:left="850" w:hanging="425"/>
        <w:jc w:val="both"/>
      </w:pPr>
      <w:r>
        <w:rPr>
          <w:rFonts w:ascii="David" w:hAnsi="David" w:cs="David" w:eastAsia="David"/>
          <w:b w:val="0"/>
          <w:sz w:val="24"/>
          <w:u w:val="none"/>
          <w:szCs w:val="24"/>
          <w:rtl w:val="1"/>
        </w:rPr>
        <w:t>ב.</w:t>
        <w:tab/>
      </w:r>
      <w:r>
        <w:rPr>
          <w:rFonts w:ascii="David" w:hAnsi="David" w:cs="David" w:eastAsia="David"/>
          <w:b w:val="0"/>
          <w:sz w:val="24"/>
          <w:u w:val="none"/>
          <w:szCs w:val="24"/>
          <w:rtl w:val="1"/>
        </w:rPr>
        <w:t>המשיב הוא הנושא — מאז ומעולם ועד היום — בעיקר נטל ההוצאות בגין הילדים, לרבות התשלומים לקופת החולים (אף בגין המבקשת), הגן של הקטין עילי, החגים, החופשות, הטיולים והבילויים, והכל ללא כל השתתפות מצד המבקשת;</w:t>
      </w:r>
    </w:p>
    <w:p>
      <w:pPr>
        <w:bidi w:val="1"/>
        <w:spacing w:line="360" w:lineRule="auto" w:after="120"/>
        <w:ind w:left="850" w:hanging="425"/>
        <w:jc w:val="both"/>
      </w:pPr>
      <w:r>
        <w:rPr>
          <w:rFonts w:ascii="David" w:hAnsi="David" w:cs="David" w:eastAsia="David"/>
          <w:b w:val="0"/>
          <w:sz w:val="24"/>
          <w:u w:val="none"/>
          <w:szCs w:val="24"/>
          <w:rtl w:val="1"/>
        </w:rPr>
        <w:t>ג.</w:t>
        <w:tab/>
      </w:r>
      <w:r>
        <w:rPr>
          <w:rFonts w:ascii="David" w:hAnsi="David" w:cs="David" w:eastAsia="David"/>
          <w:b w:val="0"/>
          <w:sz w:val="24"/>
          <w:u w:val="none"/>
          <w:szCs w:val="24"/>
          <w:rtl w:val="1"/>
        </w:rPr>
        <w:t>הבקשה לוקה בחוסר תום לב, בהיעדר הדדיות ובהיעדר ניקיון כפיים;</w:t>
      </w:r>
    </w:p>
    <w:p>
      <w:pPr>
        <w:bidi w:val="1"/>
        <w:spacing w:line="360" w:lineRule="auto" w:after="120"/>
        <w:ind w:left="850" w:hanging="425"/>
        <w:jc w:val="both"/>
      </w:pPr>
      <w:r>
        <w:rPr>
          <w:rFonts w:ascii="David" w:hAnsi="David" w:cs="David" w:eastAsia="David"/>
          <w:b w:val="0"/>
          <w:sz w:val="24"/>
          <w:u w:val="none"/>
          <w:szCs w:val="24"/>
          <w:rtl w:val="1"/>
        </w:rPr>
        <w:t>ד.</w:t>
        <w:tab/>
      </w:r>
      <w:r>
        <w:rPr>
          <w:rFonts w:ascii="David" w:hAnsi="David" w:cs="David" w:eastAsia="David"/>
          <w:b w:val="0"/>
          <w:sz w:val="24"/>
          <w:u w:val="none"/>
          <w:szCs w:val="24"/>
          <w:rtl w:val="1"/>
        </w:rPr>
        <w:t>המבקשת לא הרימה — ואף לא ניסתה להרים — את הנטל המוטל עליה.</w:t>
      </w:r>
    </w:p>
    <w:p>
      <w:pPr>
        <w:bidi w:val="1"/>
        <w:spacing w:line="360" w:lineRule="auto" w:after="160"/>
        <w:ind w:left="425" w:hanging="425"/>
        <w:jc w:val="both"/>
      </w:pPr>
      <w:r>
        <w:rPr>
          <w:rFonts w:ascii="David" w:hAnsi="David" w:cs="David" w:eastAsia="David"/>
          <w:b w:val="0"/>
          <w:sz w:val="24"/>
          <w:u w:val="none"/>
          <w:szCs w:val="24"/>
          <w:rtl w:val="1"/>
        </w:rPr>
        <w:t>16.</w:t>
        <w:tab/>
      </w:r>
      <w:r>
        <w:rPr>
          <w:rFonts w:ascii="David" w:hAnsi="David" w:cs="David" w:eastAsia="David"/>
          <w:b w:val="0"/>
          <w:sz w:val="24"/>
          <w:u w:val="none"/>
          <w:szCs w:val="24"/>
          <w:rtl w:val="1"/>
        </w:rPr>
        <w:t>אשר על כל המקובץ לעיל, מתבקש כבוד בית הדין הנכבד לדחות את הבקשה על כל חלקיה, ולחייב את המבקשת בהוצאות המשיב.</w:t>
      </w:r>
    </w:p>
    <w:p>
      <w:pPr>
        <w:bidi w:val="1"/>
        <w:spacing w:line="360" w:lineRule="auto" w:after="200" w:before="0"/>
        <w:jc w:val="both"/>
      </w:pPr>
    </w:p>
    <w:p>
      <w:pPr>
        <w:bidi w:val="1"/>
        <w:spacing w:line="360" w:lineRule="auto" w:after="0" w:before="0"/>
        <w:jc w:val="right"/>
      </w:pPr>
      <w:r>
        <w:rPr>
          <w:rFonts w:ascii="David" w:hAnsi="David" w:cs="David" w:eastAsia="David"/>
          <w:b w:val="0"/>
          <w:sz w:val="24"/>
          <w:u w:val="none"/>
          <w:szCs w:val="24"/>
          <w:rtl w:val="1"/>
        </w:rPr>
        <w:t>_________________________</w:t>
      </w:r>
    </w:p>
    <w:p>
      <w:pPr>
        <w:bidi w:val="1"/>
        <w:spacing w:line="360" w:lineRule="auto" w:after="0" w:before="0"/>
        <w:jc w:val="right"/>
      </w:pPr>
      <w:r>
        <w:rPr>
          <w:rFonts w:ascii="David" w:hAnsi="David" w:cs="David" w:eastAsia="David"/>
          <w:b w:val="0"/>
          <w:sz w:val="24"/>
          <w:u w:val="none"/>
          <w:szCs w:val="24"/>
          <w:rtl w:val="1"/>
        </w:rPr>
        <w:t>____________, עו"ד</w:t>
      </w:r>
    </w:p>
    <w:p>
      <w:pPr>
        <w:bidi w:val="1"/>
        <w:spacing w:line="360" w:lineRule="auto" w:after="0" w:before="0"/>
        <w:jc w:val="right"/>
      </w:pPr>
      <w:r>
        <w:rPr>
          <w:rFonts w:ascii="David" w:hAnsi="David" w:cs="David" w:eastAsia="David"/>
          <w:b w:val="0"/>
          <w:sz w:val="24"/>
          <w:u w:val="none"/>
          <w:szCs w:val="24"/>
          <w:rtl w:val="1"/>
        </w:rPr>
        <w:t>ב"כ המשיב</w:t>
      </w:r>
    </w:p>
    <w:sectPr w:rsidR="00FC693F" w:rsidRPr="0006063C" w:rsidSect="00034616">
      <w:footerReference w:type="default" r:id="rId9"/>
      <w:pgSz w:w="11906" w:h="16838"/>
      <w:pgMar w:top="850" w:right="1417" w:bottom="646"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eastAsia="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