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jc w:val="start"/>
      </w:pPr>
      <w:r>
        <w:rPr>
          <w:rFonts w:ascii="David" w:cs="David" w:eastAsia="David" w:hAnsi="David"/>
          <w:b/>
          <w:bCs/>
          <w:sz w:val="24"/>
          <w:szCs w:val="24"/>
          <w:rtl/>
        </w:rPr>
        <w:t xml:space="preserve">בבית המשפט לענייני משפחה בראשון לציון</w:t>
      </w:r>
      <w:r>
        <w:rPr>
          <w:rFonts w:ascii="David" w:cs="David" w:eastAsia="David" w:hAnsi="David"/>
          <w:b/>
          <w:bCs/>
          <w:sz w:val="24"/>
          <w:szCs w:val="24"/>
          <w:rtl/>
        </w:rPr>
        <w:t xml:space="preserve">			תמ"ש 49199-09-23</w:t>
      </w:r>
    </w:p>
    <w:p>
      <w:pPr>
        <w:bidi/>
        <w:spacing w:after="0"/>
        <w:jc w:val="start"/>
      </w:pPr>
      <w:r>
        <w:rPr>
          <w:rFonts w:ascii="David" w:cs="David" w:eastAsia="David" w:hAnsi="David"/>
          <w:sz w:val="24"/>
          <w:szCs w:val="24"/>
          <w:rtl/>
        </w:rPr>
        <w:t xml:space="preserve">בפני כב' השופטת מירב אליהו</w:t>
      </w:r>
    </w:p>
    <w:p>
      <w:pPr>
        <w:bidi/>
      </w:pPr>
    </w:p>
    <w:p>
      <w:pPr>
        <w:bidi/>
        <w:spacing w:after="0"/>
        <w:jc w:val="start"/>
      </w:pPr>
      <w:r>
        <w:rPr>
          <w:rFonts w:ascii="David" w:cs="David" w:eastAsia="David" w:hAnsi="David"/>
          <w:b/>
          <w:bCs/>
          <w:sz w:val="24"/>
          <w:szCs w:val="24"/>
          <w:rtl/>
        </w:rPr>
        <w:t xml:space="preserve">המבקש:		[שם המבקש], ת.ז. [___]</w:t>
      </w:r>
    </w:p>
    <w:p>
      <w:pPr>
        <w:bidi/>
        <w:spacing w:after="0"/>
        <w:jc w:val="start"/>
      </w:pPr>
      <w:r>
        <w:rPr>
          <w:rFonts w:ascii="David" w:cs="David" w:eastAsia="David" w:hAnsi="David"/>
          <w:sz w:val="24"/>
          <w:szCs w:val="24"/>
          <w:rtl/>
        </w:rPr>
        <w:t xml:space="preserve">		ע"י ב"כ עו"ד סולומון טקה</w:t>
      </w:r>
    </w:p>
    <w:p>
      <w:pPr>
        <w:bidi/>
      </w:pPr>
    </w:p>
    <w:p>
      <w:pPr>
        <w:bidi/>
        <w:spacing w:after="0"/>
        <w:jc w:val="start"/>
      </w:pPr>
      <w:r>
        <w:rPr>
          <w:rFonts w:ascii="David" w:cs="David" w:eastAsia="David" w:hAnsi="David"/>
          <w:sz w:val="24"/>
          <w:szCs w:val="24"/>
          <w:rtl/>
        </w:rPr>
        <w:t xml:space="preserve">נגד</w:t>
      </w:r>
    </w:p>
    <w:p>
      <w:pPr>
        <w:bidi/>
      </w:pPr>
    </w:p>
    <w:p>
      <w:pPr>
        <w:bidi/>
        <w:spacing w:after="0"/>
        <w:jc w:val="start"/>
      </w:pPr>
      <w:r>
        <w:rPr>
          <w:rFonts w:ascii="David" w:cs="David" w:eastAsia="David" w:hAnsi="David"/>
          <w:b/>
          <w:bCs/>
          <w:sz w:val="24"/>
          <w:szCs w:val="24"/>
          <w:rtl/>
        </w:rPr>
        <w:t xml:space="preserve">המשיבים:	1. [שם המשיבה 1]</w:t>
      </w:r>
    </w:p>
    <w:p>
      <w:pPr>
        <w:bidi/>
        <w:spacing w:after="0"/>
        <w:jc w:val="start"/>
      </w:pPr>
      <w:r>
        <w:rPr>
          <w:rFonts w:ascii="David" w:cs="David" w:eastAsia="David" w:hAnsi="David"/>
          <w:b/>
          <w:bCs/>
          <w:sz w:val="24"/>
          <w:szCs w:val="24"/>
          <w:rtl/>
        </w:rPr>
        <w:t xml:space="preserve">		2. המוסד לביטוח לאומי</w:t>
      </w:r>
    </w:p>
    <w:p>
      <w:pPr>
        <w:bidi/>
      </w:pPr>
    </w:p>
    <w:p>
      <w:pPr>
        <w:bidi/>
        <w:spacing w:after="240" w:before="240"/>
        <w:jc w:val="center"/>
      </w:pPr>
      <w:r>
        <w:rPr>
          <w:rFonts w:ascii="David" w:cs="David" w:eastAsia="David" w:hAnsi="David"/>
          <w:b/>
          <w:bCs/>
          <w:sz w:val="28"/>
          <w:szCs w:val="28"/>
          <w:u w:val="single"/>
          <w:rtl/>
        </w:rPr>
        <w:t xml:space="preserve">בקשה דחופה למתן הוראות - הסרת עיקול, השבת כספים והפסקת הגדלת החוב בתיק הוצאה לפועל 542780-03-25</w:t>
      </w:r>
    </w:p>
    <w:p>
      <w:pPr>
        <w:bidi/>
        <w:spacing w:after="120" w:line="360" w:lineRule="auto"/>
        <w:jc w:val="both"/>
      </w:pPr>
      <w:r>
        <w:rPr>
          <w:rFonts w:ascii="David" w:cs="David" w:eastAsia="David" w:hAnsi="David"/>
          <w:sz w:val="24"/>
          <w:szCs w:val="24"/>
          <w:rtl/>
        </w:rPr>
        <w:t xml:space="preserve">בית המשפט הנכבד מתבקש להורות כי עיכוב ההליכים שניתן בהחלטותיו מיום 19.8.2026 ומיום 17.9.2026 חל גם על העיקול שהוטל על חשבון הבנק של המבקש, ולהורות על הסרתו, על השבת הכספים שנגבו בניגוד לעיכוב ועל הפסקת הגדלת החוב בתיק.</w:t>
      </w:r>
    </w:p>
    <w:p>
      <w:pPr>
        <w:bidi/>
        <w:spacing w:after="120" w:line="360" w:lineRule="auto"/>
        <w:jc w:val="both"/>
      </w:pPr>
      <w:r>
        <w:rPr>
          <w:rFonts w:ascii="David" w:cs="David" w:eastAsia="David" w:hAnsi="David"/>
          <w:sz w:val="24"/>
          <w:szCs w:val="24"/>
          <w:rtl/>
        </w:rPr>
        <w:t xml:space="preserve">ואלה נימוקי הבקשה:</w:t>
      </w:r>
    </w:p>
    <w:p>
      <w:pPr>
        <w:pStyle w:val="ListParagraph"/>
        <w:numPr>
          <w:ilvl w:val="0"/>
          <w:numId w:val="2"/>
        </w:numPr>
        <w:bidi/>
        <w:spacing w:after="120" w:line="360" w:lineRule="auto"/>
        <w:jc w:val="both"/>
      </w:pPr>
      <w:r>
        <w:rPr>
          <w:rFonts w:ascii="David" w:cs="David" w:eastAsia="David" w:hAnsi="David"/>
          <w:sz w:val="24"/>
          <w:szCs w:val="24"/>
          <w:rtl/>
        </w:rPr>
        <w:t xml:space="preserve">פסק הדין למזונות מיום 24.12.2023, שניתן נגד המבקש במעמד צד אחד בעת ששירת במילואים, ושעל בסיסו נפתח תיק ההוצאה לפועל, בוטל ביום 12.5.2026.</w:t>
      </w:r>
    </w:p>
    <w:p>
      <w:pPr>
        <w:pStyle w:val="ListParagraph"/>
        <w:numPr>
          <w:ilvl w:val="0"/>
          <w:numId w:val="2"/>
        </w:numPr>
        <w:bidi/>
        <w:spacing w:after="120" w:line="360" w:lineRule="auto"/>
        <w:jc w:val="both"/>
      </w:pPr>
      <w:r>
        <w:rPr>
          <w:rFonts w:ascii="David" w:cs="David" w:eastAsia="David" w:hAnsi="David"/>
          <w:sz w:val="24"/>
          <w:szCs w:val="24"/>
          <w:rtl/>
        </w:rPr>
        <w:t xml:space="preserve">ביום 14.4.2026 הוטל בתיק עיקול לשלושה חודשים על חשבון הבנק המשותף למבקש ולרעייתו בבנק הפועלים, סניף 768, חשבון מס' 474964, שאליו נכנסת משכורתו של המבקש. תקופת העיקול הסתיימה ביום 14.7.2026, והעיקול לא חודש.</w:t>
      </w:r>
    </w:p>
    <w:p>
      <w:pPr>
        <w:pStyle w:val="ListParagraph"/>
        <w:numPr>
          <w:ilvl w:val="0"/>
          <w:numId w:val="2"/>
        </w:numPr>
        <w:bidi/>
        <w:spacing w:after="120" w:line="360" w:lineRule="auto"/>
        <w:jc w:val="both"/>
      </w:pPr>
      <w:r>
        <w:rPr>
          <w:rFonts w:ascii="David" w:cs="David" w:eastAsia="David" w:hAnsi="David"/>
          <w:sz w:val="24"/>
          <w:szCs w:val="24"/>
          <w:rtl/>
        </w:rPr>
        <w:t xml:space="preserve">ביום 19.8.2026 וביום 17.9.2026 הורה בית המשפט הנכבד על עיכוב ההליכים בתיק ההוצאה לפועל. החלטת העיכוב נמסרה לזוכה כפי שהורה בית המשפט הנכבד.</w:t>
      </w:r>
    </w:p>
    <w:p>
      <w:pPr>
        <w:pStyle w:val="ListParagraph"/>
        <w:numPr>
          <w:ilvl w:val="0"/>
          <w:numId w:val="2"/>
        </w:numPr>
        <w:bidi/>
        <w:spacing w:after="120" w:line="360" w:lineRule="auto"/>
        <w:jc w:val="both"/>
      </w:pPr>
      <w:r>
        <w:rPr>
          <w:rFonts w:ascii="David" w:cs="David" w:eastAsia="David" w:hAnsi="David"/>
          <w:sz w:val="24"/>
          <w:szCs w:val="24"/>
          <w:rtl/>
        </w:rPr>
        <w:t xml:space="preserve">אף על פי כן, ביום 15.9.2026, כחודש לאחר מתן העיכוב, מומש העיקול ונגבה מהחשבון לתיק סך של 8,869 ₪. החשבון חסום כליל עד היום, והמבקש אינו יכול למשוך ממנו דבר.</w:t>
      </w:r>
    </w:p>
    <w:p>
      <w:pPr>
        <w:pStyle w:val="ListParagraph"/>
        <w:numPr>
          <w:ilvl w:val="0"/>
          <w:numId w:val="2"/>
        </w:numPr>
        <w:bidi/>
        <w:spacing w:after="120" w:line="360" w:lineRule="auto"/>
        <w:jc w:val="both"/>
      </w:pPr>
      <w:r>
        <w:rPr>
          <w:rFonts w:ascii="David" w:cs="David" w:eastAsia="David" w:hAnsi="David"/>
          <w:sz w:val="24"/>
          <w:szCs w:val="24"/>
          <w:rtl/>
        </w:rPr>
        <w:t xml:space="preserve">ביום 22.9.2026 אף הוגדלה קרן החוב בתיק בסך של 3,431 ₪, ויתרת החוב עומדת כיום על 101,996 ₪, לעומת חוב מקורי של 52,728 ₪.</w:t>
      </w:r>
    </w:p>
    <w:p>
      <w:pPr>
        <w:pStyle w:val="ListParagraph"/>
        <w:numPr>
          <w:ilvl w:val="0"/>
          <w:numId w:val="2"/>
        </w:numPr>
        <w:bidi/>
        <w:spacing w:after="120" w:line="360" w:lineRule="auto"/>
        <w:jc w:val="both"/>
      </w:pPr>
      <w:r>
        <w:rPr>
          <w:rFonts w:ascii="David" w:cs="David" w:eastAsia="David" w:hAnsi="David"/>
          <w:sz w:val="24"/>
          <w:szCs w:val="24"/>
          <w:rtl/>
        </w:rPr>
        <w:t xml:space="preserve">ביום 23.9.2026 הגיש המבקש לראש ההוצאה לפועל בקשה דחופה ליישום החלטת העיכוב, להשבת הכספים ולהפסקת הגדלת החוב. ביום 24.9.2026 דחתה כב' הרשמת מרים סגל את הבקשה, קבעה כי ההליכים בתיק מעוכבים על פי החלטות בית המשפט הנכבד, והפנתה את המבקש אליהן (הבקשה וההחלטה מצורפות כנספח א').</w:t>
      </w:r>
    </w:p>
    <w:p>
      <w:pPr>
        <w:pStyle w:val="ListParagraph"/>
        <w:numPr>
          <w:ilvl w:val="0"/>
          <w:numId w:val="2"/>
        </w:numPr>
        <w:bidi/>
        <w:spacing w:after="120" w:line="360" w:lineRule="auto"/>
        <w:jc w:val="both"/>
      </w:pPr>
      <w:r>
        <w:rPr>
          <w:rFonts w:ascii="David" w:cs="David" w:eastAsia="David" w:hAnsi="David"/>
          <w:sz w:val="24"/>
          <w:szCs w:val="24"/>
          <w:rtl/>
        </w:rPr>
        <w:t xml:space="preserve">ראש ההוצאה לפועל רואה עצמו כפוף להחלטות בית המשפט הנכבד ואינו נכון להרחיבן. ההכרעה בגורל העיקול, הכספים שנגבו והגדלת החוב נתונה אפוא לבית המשפט הנכבד בלבד.</w:t>
      </w:r>
    </w:p>
    <w:p>
      <w:pPr>
        <w:pStyle w:val="ListParagraph"/>
        <w:numPr>
          <w:ilvl w:val="0"/>
          <w:numId w:val="2"/>
        </w:numPr>
        <w:bidi/>
        <w:spacing w:after="120" w:line="360" w:lineRule="auto"/>
        <w:jc w:val="both"/>
      </w:pPr>
      <w:r>
        <w:rPr>
          <w:rFonts w:ascii="David" w:cs="David" w:eastAsia="David" w:hAnsi="David"/>
          <w:sz w:val="24"/>
          <w:szCs w:val="24"/>
          <w:rtl/>
        </w:rPr>
        <w:t xml:space="preserve">המבקש ומשפחתו חנוקים כלכלית. החשבון שאליו נכנסת משכורתו חסום, ואין בידו לרכוש מזון, תרופות וצרכים הכרחיים אחרים, ואף לא לתדלק את רכבו. הכנסתו החודשית כ-9,000 ₪, הוצאותיו ההכרחיות כ-7,500 ₪, ואין לו מקור מימון אחר. הוא נאלץ להתקיים מהלוואות מבני משפחתו, שכר הדירה אינו משולם, הוראות הקבע חוזרות והחובות מצטברים.</w:t>
      </w:r>
    </w:p>
    <w:p>
      <w:pPr>
        <w:pStyle w:val="ListParagraph"/>
        <w:numPr>
          <w:ilvl w:val="0"/>
          <w:numId w:val="2"/>
        </w:numPr>
        <w:bidi/>
        <w:spacing w:after="120" w:line="360" w:lineRule="auto"/>
        <w:jc w:val="both"/>
      </w:pPr>
      <w:r>
        <w:rPr>
          <w:rFonts w:ascii="David" w:cs="David" w:eastAsia="David" w:hAnsi="David"/>
          <w:sz w:val="24"/>
          <w:szCs w:val="24"/>
          <w:rtl/>
        </w:rPr>
        <w:t xml:space="preserve">עיכוב הליכים שאינו חל על העיקול, על הגבייה ועל הגדלת החוב הוא עיכוב ריק מתוכן. ההליכים קפואים על הנייר, אך בפועל נגבים כספים מהמבקש והחוב ממשיך לתפוח. הגדלת קרן החוב בתקופת העיכוב היא עצמה פעולת ביצוע. המשיב 2 מחזיק בבטוחה מלאה בלי לשאת בנטל כלשהו, והמבקש נושא בכל נזקי ההליך בלי שנקבע כלפיו חוב סופי.</w:t>
      </w:r>
    </w:p>
    <w:p>
      <w:pPr>
        <w:pStyle w:val="ListParagraph"/>
        <w:numPr>
          <w:ilvl w:val="0"/>
          <w:numId w:val="2"/>
        </w:numPr>
        <w:bidi/>
        <w:spacing w:after="120" w:line="360" w:lineRule="auto"/>
        <w:jc w:val="both"/>
      </w:pPr>
      <w:r>
        <w:rPr>
          <w:rFonts w:ascii="David" w:cs="David" w:eastAsia="David" w:hAnsi="David"/>
          <w:sz w:val="24"/>
          <w:szCs w:val="24"/>
          <w:rtl/>
        </w:rPr>
        <w:t xml:space="preserve">הבסיס לעיקול נשמט. פסק הדין שעל בסיסו נפתח התיק בוטל, והתיק נשען כיום על החלטת מזונות זמניים בלבד, שבקשה לביטולה או להפחתתה תלויה ועומדת.</w:t>
      </w:r>
    </w:p>
    <w:p>
      <w:pPr>
        <w:pStyle w:val="ListParagraph"/>
        <w:numPr>
          <w:ilvl w:val="0"/>
          <w:numId w:val="2"/>
        </w:numPr>
        <w:bidi/>
        <w:spacing w:after="120" w:line="360" w:lineRule="auto"/>
        <w:jc w:val="both"/>
      </w:pPr>
      <w:r>
        <w:rPr>
          <w:rFonts w:ascii="David" w:cs="David" w:eastAsia="David" w:hAnsi="David"/>
          <w:sz w:val="24"/>
          <w:szCs w:val="24"/>
          <w:rtl/>
        </w:rPr>
        <w:t xml:space="preserve">הגבייה מיום 15.9.2026 פסולה משני טעמים עצמאיים: היא בוצעה מכוח עיקול שתקופתו הסתיימה ביום 14.7.2026 ולא חודש, והיא בוצעה לאחר שבית המשפט הנכבד הורה על עיכוב ההליכים. דינם של הכספים שנגבו להיות מושבים.</w:t>
      </w:r>
    </w:p>
    <w:p>
      <w:pPr>
        <w:pStyle w:val="ListParagraph"/>
        <w:numPr>
          <w:ilvl w:val="0"/>
          <w:numId w:val="2"/>
        </w:numPr>
        <w:bidi/>
        <w:spacing w:after="120" w:line="360" w:lineRule="auto"/>
        <w:jc w:val="both"/>
      </w:pPr>
      <w:r>
        <w:rPr>
          <w:rFonts w:ascii="David" w:cs="David" w:eastAsia="David" w:hAnsi="David"/>
          <w:sz w:val="24"/>
          <w:szCs w:val="24"/>
          <w:rtl/>
        </w:rPr>
        <w:t xml:space="preserve">מאזן הנוחות נוטה בבירור לטובת המבקש. המשיב 2 הוא גוף ממלכתי, ואין כל סיכון שזכותו, אם תיקבע, לא תיפרע. מנגד, הנזק למבקש מיידי ובלתי הפיך: אדם שאין בידו לקנות מזון אינו יכול להמתין להכרעה בתיק.</w:t>
      </w:r>
    </w:p>
    <w:p>
      <w:pPr>
        <w:pStyle w:val="ListParagraph"/>
        <w:numPr>
          <w:ilvl w:val="0"/>
          <w:numId w:val="2"/>
        </w:numPr>
        <w:bidi/>
        <w:spacing w:after="120" w:line="360" w:lineRule="auto"/>
        <w:jc w:val="both"/>
      </w:pPr>
      <w:r>
        <w:rPr>
          <w:rFonts w:ascii="David" w:cs="David" w:eastAsia="David" w:hAnsi="David"/>
          <w:sz w:val="24"/>
          <w:szCs w:val="24"/>
          <w:rtl/>
        </w:rPr>
        <w:t xml:space="preserve">ככל שבית המשפט הנכבד יסבור כי נדרשת בטוחה, המבקש מוכן להפקיד ערובה או ערבות בהיקף שייקבע, כנגד שחרור החשבון.</w:t>
      </w:r>
    </w:p>
    <w:p>
      <w:pPr>
        <w:pStyle w:val="ListParagraph"/>
        <w:numPr>
          <w:ilvl w:val="0"/>
          <w:numId w:val="2"/>
        </w:numPr>
        <w:bidi/>
        <w:spacing w:after="120" w:line="360" w:lineRule="auto"/>
        <w:jc w:val="both"/>
      </w:pPr>
      <w:r>
        <w:rPr>
          <w:rFonts w:ascii="David" w:cs="David" w:eastAsia="David" w:hAnsi="David"/>
          <w:sz w:val="24"/>
          <w:szCs w:val="24"/>
          <w:rtl/>
        </w:rPr>
        <w:t xml:space="preserve">לאור האמור, בית המשפט הנכבד מתבקש:</w:t>
      </w:r>
    </w:p>
    <w:p>
      <w:pPr>
        <w:pStyle w:val="ListParagraph"/>
        <w:numPr>
          <w:ilvl w:val="1"/>
          <w:numId w:val="2"/>
        </w:numPr>
        <w:bidi/>
        <w:spacing w:after="120" w:line="360" w:lineRule="auto"/>
        <w:jc w:val="both"/>
      </w:pPr>
      <w:r>
        <w:rPr>
          <w:rFonts w:ascii="David" w:cs="David" w:eastAsia="David" w:hAnsi="David"/>
          <w:sz w:val="24"/>
          <w:szCs w:val="24"/>
          <w:rtl/>
        </w:rPr>
        <w:t xml:space="preserve">להורות כי העיכוב חל גם על העיקול בחשבון, ולהורות לראש ההוצאה לפועל ולבנק להסירו לאלתר.</w:t>
      </w:r>
    </w:p>
    <w:p>
      <w:pPr>
        <w:pStyle w:val="ListParagraph"/>
        <w:numPr>
          <w:ilvl w:val="1"/>
          <w:numId w:val="2"/>
        </w:numPr>
        <w:bidi/>
        <w:spacing w:after="120" w:line="360" w:lineRule="auto"/>
        <w:jc w:val="both"/>
      </w:pPr>
      <w:r>
        <w:rPr>
          <w:rFonts w:ascii="David" w:cs="David" w:eastAsia="David" w:hAnsi="David"/>
          <w:sz w:val="24"/>
          <w:szCs w:val="24"/>
          <w:rtl/>
        </w:rPr>
        <w:t xml:space="preserve">להורות על השבת סך 8,869 ₪ שנגבה מהחשבון ביום 15.9.2026.</w:t>
      </w:r>
    </w:p>
    <w:p>
      <w:pPr>
        <w:pStyle w:val="ListParagraph"/>
        <w:numPr>
          <w:ilvl w:val="1"/>
          <w:numId w:val="2"/>
        </w:numPr>
        <w:bidi/>
        <w:spacing w:after="120" w:line="360" w:lineRule="auto"/>
        <w:jc w:val="both"/>
      </w:pPr>
      <w:r>
        <w:rPr>
          <w:rFonts w:ascii="David" w:cs="David" w:eastAsia="David" w:hAnsi="David"/>
          <w:sz w:val="24"/>
          <w:szCs w:val="24"/>
          <w:rtl/>
        </w:rPr>
        <w:t xml:space="preserve">להורות על הפסקת הגדלת החוב בתקופת העיכוב ועל ביטול כל תוספת לחוב, לרבות אגרות והוצאות, שנרשמה מיום 19.8.2026.</w:t>
      </w:r>
    </w:p>
    <w:p>
      <w:pPr>
        <w:pStyle w:val="ListParagraph"/>
        <w:numPr>
          <w:ilvl w:val="1"/>
          <w:numId w:val="2"/>
        </w:numPr>
        <w:bidi/>
        <w:spacing w:after="120" w:line="360" w:lineRule="auto"/>
        <w:jc w:val="both"/>
      </w:pPr>
      <w:r>
        <w:rPr>
          <w:rFonts w:ascii="David" w:cs="David" w:eastAsia="David" w:hAnsi="David"/>
          <w:sz w:val="24"/>
          <w:szCs w:val="24"/>
          <w:rtl/>
        </w:rPr>
        <w:t xml:space="preserve">להורות כי בתקופת העיכוב לא יוטלו בתיק עיקולים חדשים ולא יינקטו בו פעולות גבייה.</w:t>
      </w:r>
    </w:p>
    <w:p>
      <w:pPr>
        <w:pStyle w:val="ListParagraph"/>
        <w:numPr>
          <w:ilvl w:val="1"/>
          <w:numId w:val="2"/>
        </w:numPr>
        <w:bidi/>
        <w:spacing w:after="120" w:line="360" w:lineRule="auto"/>
        <w:jc w:val="both"/>
      </w:pPr>
      <w:r>
        <w:rPr>
          <w:rFonts w:ascii="David" w:cs="David" w:eastAsia="David" w:hAnsi="David"/>
          <w:sz w:val="24"/>
          <w:szCs w:val="24"/>
          <w:rtl/>
        </w:rPr>
        <w:t xml:space="preserve">לחלופין, ועד להכרעה בבקשה, להורות על שחרור מיידי של כספים לצורכי מחיה הכרחיים של המבקש.</w:t>
      </w:r>
    </w:p>
    <w:p>
      <w:pPr>
        <w:pStyle w:val="ListParagraph"/>
        <w:numPr>
          <w:ilvl w:val="1"/>
          <w:numId w:val="2"/>
        </w:numPr>
        <w:bidi/>
        <w:spacing w:after="120" w:line="360" w:lineRule="auto"/>
        <w:jc w:val="both"/>
      </w:pPr>
      <w:r>
        <w:rPr>
          <w:rFonts w:ascii="David" w:cs="David" w:eastAsia="David" w:hAnsi="David"/>
          <w:sz w:val="24"/>
          <w:szCs w:val="24"/>
          <w:rtl/>
        </w:rPr>
        <w:t xml:space="preserve">לחלופין, להורות על שחרור החשבון כנגד בטוחה חלופית כמפורט בסעיף 13 לעיל.</w:t>
      </w:r>
    </w:p>
    <w:p>
      <w:pPr>
        <w:pStyle w:val="ListParagraph"/>
        <w:numPr>
          <w:ilvl w:val="1"/>
          <w:numId w:val="2"/>
        </w:numPr>
        <w:bidi/>
        <w:spacing w:after="120" w:line="360" w:lineRule="auto"/>
        <w:jc w:val="both"/>
      </w:pPr>
      <w:r>
        <w:rPr>
          <w:rFonts w:ascii="David" w:cs="David" w:eastAsia="David" w:hAnsi="David"/>
          <w:sz w:val="24"/>
          <w:szCs w:val="24"/>
          <w:rtl/>
        </w:rPr>
        <w:t xml:space="preserve">לקבוע מועד קצר של 3 ימים לתגובת המשיבים, נוכח הפגיעה המתמשכת במבקש.</w:t>
      </w:r>
    </w:p>
    <w:p>
      <w:pPr>
        <w:pStyle w:val="ListParagraph"/>
        <w:numPr>
          <w:ilvl w:val="0"/>
          <w:numId w:val="2"/>
        </w:numPr>
        <w:bidi/>
        <w:spacing w:after="120" w:line="360" w:lineRule="auto"/>
        <w:jc w:val="both"/>
      </w:pPr>
      <w:r>
        <w:rPr>
          <w:rFonts w:ascii="David" w:cs="David" w:eastAsia="David" w:hAnsi="David"/>
          <w:sz w:val="24"/>
          <w:szCs w:val="24"/>
          <w:rtl/>
        </w:rPr>
        <w:t xml:space="preserve">הבקשה נתמכת בתצהיר המבקש. מן הדין ומן הצדק להיעתר לה.</w:t>
      </w:r>
    </w:p>
    <w:p>
      <w:pPr>
        <w:bidi/>
      </w:pPr>
    </w:p>
    <w:p>
      <w:pPr>
        <w:bidi/>
        <w:spacing w:before="360"/>
        <w:jc w:val="end"/>
      </w:pPr>
      <w:r>
        <w:rPr>
          <w:rFonts w:ascii="David" w:cs="David" w:eastAsia="David" w:hAnsi="David"/>
          <w:sz w:val="24"/>
          <w:szCs w:val="24"/>
          <w:rtl/>
        </w:rPr>
        <w:t xml:space="preserve">____________________</w:t>
      </w:r>
    </w:p>
    <w:p>
      <w:pPr>
        <w:bidi/>
        <w:jc w:val="end"/>
      </w:pPr>
      <w:r>
        <w:rPr>
          <w:rFonts w:ascii="David" w:cs="David" w:eastAsia="David" w:hAnsi="David"/>
          <w:b/>
          <w:bCs/>
          <w:sz w:val="24"/>
          <w:szCs w:val="24"/>
          <w:rtl/>
        </w:rPr>
        <w:t xml:space="preserve">סולומון טקה, עו"ד</w:t>
      </w:r>
    </w:p>
    <w:p>
      <w:pPr>
        <w:bidi/>
        <w:jc w:val="end"/>
      </w:pPr>
      <w:r>
        <w:rPr>
          <w:rFonts w:ascii="David" w:cs="David" w:eastAsia="David" w:hAnsi="David"/>
          <w:b/>
          <w:bCs/>
          <w:sz w:val="24"/>
          <w:szCs w:val="24"/>
          <w:rtl/>
        </w:rPr>
        <w:t xml:space="preserve">ב"כ המבקש</w:t>
      </w:r>
    </w:p>
    <w:p>
      <w:pPr>
        <w:bidi/>
        <w:spacing w:after="0"/>
        <w:jc w:val="start"/>
      </w:pPr>
      <w:r>
        <w:rPr>
          <w:rFonts w:ascii="David" w:cs="David" w:eastAsia="David" w:hAnsi="David"/>
          <w:sz w:val="24"/>
          <w:szCs w:val="24"/>
          <w:rtl/>
        </w:rPr>
        <w:t xml:space="preserve">תאריך: ____________</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lvl w:ilvl="1" w15:tentative="1">
      <w:start w:val="1"/>
      <w:numFmt w:val="hebrew1"/>
      <w:suff w:val="tab"/>
      <w:lvlText w:val="%2."/>
      <w:lvlJc w:val="start"/>
      <w:pPr>
        <w:ind w:left="1134"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2026-09-27T06:31:38.261Z</dcterms:created>
  <dcterms:modified xsi:type="dcterms:W3CDTF">2026-09-27T06:31:38.276Z</dcterms:modified>
</cp:coreProperties>
</file>

<file path=docProps/custom.xml><?xml version="1.0" encoding="utf-8"?>
<Properties xmlns="http://schemas.openxmlformats.org/officeDocument/2006/custom-properties" xmlns:vt="http://schemas.openxmlformats.org/officeDocument/2006/docPropsVTypes"/>
</file>