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line="260" w:lineRule="auto"/>
        <w:jc w:val="start"/>
      </w:pPr>
      <w:r>
        <w:rPr>
          <w:rFonts w:ascii="David" w:cs="David" w:eastAsia="David" w:hAnsi="David"/>
          <w:b/>
          <w:bCs/>
          <w:sz w:val="24"/>
          <w:szCs w:val="24"/>
          <w:rtl/>
        </w:rPr>
        <w:t xml:space="preserve">בבית הדין הרבני האזורי ב____________</w:t>
      </w:r>
    </w:p>
    <w:p>
      <w:pPr>
        <w:bidi/>
        <w:spacing w:after="200" w:line="260" w:lineRule="auto"/>
        <w:jc w:val="end"/>
      </w:pPr>
      <w:r>
        <w:rPr>
          <w:rFonts w:ascii="David" w:cs="David" w:eastAsia="David" w:hAnsi="David"/>
          <w:b/>
          <w:bCs/>
          <w:sz w:val="24"/>
          <w:szCs w:val="24"/>
          <w:rtl/>
        </w:rPr>
        <w:t xml:space="preserve">תיק מס' ____________</w:t>
      </w:r>
    </w:p>
    <w:p>
      <w:pPr>
        <w:tabs>
          <w:tab w:val="left" w:pos="1500"/>
        </w:tabs>
        <w:bidi/>
        <w:spacing w:after="0" w:line="260" w:lineRule="auto"/>
        <w:ind w:left="1500" w:hanging="1500"/>
        <w:jc w:val="start"/>
      </w:pPr>
      <w:r>
        <w:rPr>
          <w:rFonts w:ascii="David" w:cs="David" w:eastAsia="David" w:hAnsi="David"/>
          <w:b/>
          <w:bCs/>
          <w:sz w:val="24"/>
          <w:szCs w:val="24"/>
          <w:rtl/>
        </w:rPr>
        <w:t xml:space="preserve">המבקש:</w:t>
      </w:r>
      <w:r>
        <w:rPr>
          <w:rFonts w:ascii="David" w:cs="David" w:eastAsia="David" w:hAnsi="David"/>
          <w:b w:val="false"/>
          <w:bCs w:val="false"/>
          <w:sz w:val="24"/>
          <w:szCs w:val="24"/>
          <w:rtl/>
        </w:rPr>
        <w:t xml:space="preserve">	____________, ת.ז. ____________</w:t>
      </w:r>
    </w:p>
    <w:p>
      <w:pPr>
        <w:bidi/>
        <w:spacing w:after="110" w:before="110"/>
        <w:jc w:val="center"/>
      </w:pPr>
      <w:r>
        <w:rPr>
          <w:rFonts w:ascii="David" w:cs="David" w:eastAsia="David" w:hAnsi="David"/>
          <w:b/>
          <w:bCs/>
          <w:sz w:val="24"/>
          <w:szCs w:val="24"/>
          <w:rtl/>
        </w:rPr>
        <w:t xml:space="preserve">- נ ג ד -</w:t>
      </w:r>
    </w:p>
    <w:p>
      <w:pPr>
        <w:tabs>
          <w:tab w:val="left" w:pos="1500"/>
        </w:tabs>
        <w:bidi/>
        <w:spacing w:after="0" w:line="260" w:lineRule="auto"/>
        <w:ind w:left="1500" w:hanging="1500"/>
        <w:jc w:val="start"/>
      </w:pPr>
      <w:r>
        <w:rPr>
          <w:rFonts w:ascii="David" w:cs="David" w:eastAsia="David" w:hAnsi="David"/>
          <w:b/>
          <w:bCs/>
          <w:sz w:val="24"/>
          <w:szCs w:val="24"/>
          <w:rtl/>
        </w:rPr>
        <w:t xml:space="preserve">המשיבה:</w:t>
      </w:r>
      <w:r>
        <w:rPr>
          <w:rFonts w:ascii="David" w:cs="David" w:eastAsia="David" w:hAnsi="David"/>
          <w:b w:val="false"/>
          <w:bCs w:val="false"/>
          <w:sz w:val="24"/>
          <w:szCs w:val="24"/>
          <w:rtl/>
        </w:rPr>
        <w:t xml:space="preserve">	____________, ת.ז. ____________</w:t>
      </w:r>
    </w:p>
    <w:p>
      <w:pPr>
        <w:tabs>
          <w:tab w:val="left" w:pos="1500"/>
        </w:tabs>
        <w:bidi/>
        <w:spacing w:after="0" w:line="260" w:lineRule="auto"/>
        <w:ind w:left="1500"/>
        <w:jc w:val="start"/>
      </w:pPr>
      <w:r>
        <w:rPr>
          <w:rFonts w:ascii="David" w:cs="David" w:eastAsia="David" w:hAnsi="David"/>
          <w:b w:val="false"/>
          <w:bCs w:val="false"/>
          <w:sz w:val="24"/>
          <w:szCs w:val="24"/>
          <w:rtl/>
        </w:rPr>
        <w:t xml:space="preserve">ע"י ב"כ עו"ד ____________</w:t>
      </w:r>
    </w:p>
    <w:p>
      <w:pPr>
        <w:bidi/>
        <w:spacing w:after="240" w:before="340"/>
        <w:jc w:val="center"/>
      </w:pPr>
      <w:r>
        <w:rPr>
          <w:rFonts w:ascii="David" w:cs="David" w:eastAsia="David" w:hAnsi="David"/>
          <w:b/>
          <w:bCs/>
          <w:sz w:val="28"/>
          <w:szCs w:val="28"/>
          <w:u w:val="single"/>
          <w:rtl/>
        </w:rPr>
        <w:t xml:space="preserve">תגובת המשיבה לבקשה לחלוקת הוצאות החינוך, ובקשה נגדית</w:t>
      </w:r>
    </w:p>
    <w:p>
      <w:pPr>
        <w:bidi/>
        <w:spacing w:after="140" w:line="360" w:lineRule="auto"/>
        <w:jc w:val="both"/>
      </w:pPr>
      <w:r>
        <w:rPr>
          <w:rFonts w:ascii="David" w:cs="David" w:eastAsia="David" w:hAnsi="David"/>
          <w:b w:val="false"/>
          <w:bCs w:val="false"/>
          <w:sz w:val="24"/>
          <w:szCs w:val="24"/>
          <w:rtl/>
        </w:rPr>
        <w:t xml:space="preserve">בית הדין הנכבד מתבקש לדחות את הבקשה מיום 26.7.2026 על כל סעדיה, לחייב את המבקש בהוצאות, ולהיעתר לבקשות הנגדיות שבסופה של תגובה זו.</w:t>
      </w:r>
    </w:p>
    <w:p>
      <w:pPr>
        <w:bidi/>
        <w:spacing w:after="140" w:line="360" w:lineRule="auto"/>
        <w:jc w:val="start"/>
      </w:pPr>
      <w:r>
        <w:rPr>
          <w:rFonts w:ascii="David" w:cs="David" w:eastAsia="David" w:hAnsi="David"/>
          <w:b/>
          <w:bCs/>
          <w:sz w:val="24"/>
          <w:szCs w:val="24"/>
          <w:rtl/>
        </w:rPr>
        <w:t xml:space="preserve">ואלה נימוקי התגובה:</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הבקשה היא ניסיון לשנות בדיעבד, בדרך של "בקשה למתן הוראות", החלטה שיפוטית מיום 12.2.2026 שניתנה בהסכמת הצדדים — ללא תביעה לשינוי, ללא שינוי נסיבות וללא מסמך תומך.</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ההחלטה קבעה כי המבקש ישלם מזונות בסך 4,000 ש"ח לחודש, יישא במלוא הוצאות הבית שבו מתגוררים הקטינים (משכנתה, ארנונה, חשמל, מים וגז) ובתשלומי החינוך שלהם, כמאושר בסעיפים 1–2 לבקשתו. החלטה זו, שניתנה בהסכמה ומכוחה מתנהלים חיי הקטינים מזה כחצי שנה, כמוה כפסק דין; שינויה מחייב הליך מתאים ותשתית ראייתית, ולא בקשה נעדרת נספחים.</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המבקש לא צירף את ההחלטה מיום 12.2.2026 ואף לא את פרוטוקול הדיון, אף שכל בקשתו נשענת על אמירה שנאמרה, לשיטתו, מפי בית הדין הנכבד; בהתכתבות הפנה את המשיבה לפרוטוקול מיום 17.8.2026 — אך נמנע מלצרפו. מי שמבקש להיבנות מאמירה שנאמרה בדיון, עליו הנטל להניח בפני בית הדין הנכבד את נוסחה ואת הקשרה. וממילא, שתי תשובות לגופה של אותה אמירה: האחת — המבקש מודה בכתובים כי "חוץ מזה הדיון היה בכלל על גפן", היינו שהדיון לא נסב על המסגרת לתינוק, שהיא נשוא הבקשה; השנייה — התיעוד היחיד בזמן אמת לאשר נאמר הוא דווקא הודעת המשיבה עצמה, שלפיה "בהמשך שאתחיל לעבוד מן הסתם שזה חצי חצי כמו שאמרו בבית הדין". אף לפי הבנתה שלה — הבנה שנרשמה בזמן אמת, בלא קשר להליך זה ושלא לצורכו — המנגנון שנזכר בדיון היה חלוקה עתידית המותנית ביציאתה לעבודה, ולא חיוב מיידי כפי שמבקש המבקש לקרוא בו כיום. מכל מקום, אמירה בעל פה בדיון אינה משנה החלטה שיפוטית כתובה שניתנה בהסכמת הצדדים.</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סעיף 9 לבקשה קובע כי "המשיבה דחתה את ההצעה ואינה מוכנה להשתתף בכל סכום שהוא". טענה זו נסתרת חזיתית בכתובים: "אתה צריך לשלם הכל ממה שהבנתי לי אין כרגע שום אמצעי לעזור"; "בהמשך שאתחיל לעבוד מן הסתם שזה חצי חצי כמו שאמרו בבית הדין"; "חצי חצי בהמשך".</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משמע, המשיבה לא סירבה עקרונית לשאת בחלקה: היא הודיעה בזמן אמת כי אין בידה אמצעי כלכלי כיום, וכי עם יציאתה לעבודה תישא בחלקה — כפי שהיא מודיעה גם עתה, בסעיפים 22–23 להלן. הצגת עמדה זו כסירוב גורף להשתתף "בכל סכום שהוא" היא הצגה מטעה, ואין זו התנהלות בתום לב.</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מכאן לסתירה הפנימית שבבקשה: המבקש טוען בסעיפים 10 ו-15 כי אין הכרח במסגרת לתינוק, שכן המשיבה "אינה עובדת בעת הזו ויכולה לטפל בו", ומבקש בסעד ג' לפטור עצמו מתשלום.</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מנגד, אותו מבקש דורש ממנה שוב ושוב ובכתב "את צריכה לחזור לעבוד"; והמשיבה השיבה בזמן אמת: "אז מה חשבת שאני שמה את הילדים במסגרות בשביל להישאר בבית. בטח שאני יוצאת לעבוד".</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לא ניתן לאחוז בחבל בשני קצותיו. מסגרת לתינוק אינה מותרות — היא התנאי המקדמי ליציאת המשיבה לעבודה, ומשכך גם התנאי המקדמי לאותה "חלוקה שוויונית" שהמבקש עצמו עותר לה בסעד ה'.</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הסתירה מחריפה בסעד ו'. הזכאות לסבסוד שכר לימוד במעון או במשפחתון, לפי מבחני התמיכה של משרד העבודה, מותנית בתנאי תעסוקה או לימודים מצד ההורה — בין בהיקף עבודה מזערי ובין בעמידה בסף הכנסה — ואינה קמה להורה שאינו עובד ואינו לומד כלל. מבחני התמיכה הרלוונטיים מצורפים כנספח ז'. נמצא כי המבקש דורש למצות סבסוד שהתנאי המוקדם לו הוא יציאתה של המשיבה לעבודה, ובאותה נשימה מבקש לקבוע כי לא תינתן לתינוק מסגרת המאפשרת לה לעבוד. הבקשה מבטלת את עצמה.</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גם התשתית העובדתית אינה נתמכת בדבר. הסכומים הנטענים — 3,600 ש"ח לחודש, 800 ש"ח דמי רישום וכ-7,200 ש"ח בסך הכול — נטענים בעלמא, בלא הסכם, קבלה או אישור מן המסגרת. אף לא צורפה פנייה לרשות המקומית ולא תשובת סירוב בדבר היעדר מקום במסגרת ציבורית — הטענה שעליה נשען כל ההיגיון שבבקשה.</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יתרה מזו — בהודעת המבקש לגננת, שצילומה הועבר על ידו למשיבה, נכתב: "זהבה לא לשכוח לרשום עד שעה 16:00 7,600 ש"ח לפי הסיכום בשיחה בינינו", ובתגובה: "אין בעיה". סכום זה לא בא זכרו בבקשה, ובית הדין הנכבד מתבקש לדרוש הבהרה בנקודה זו, הנוגעת לליבת אמינותה.</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אשר לשינוי הנסיבות: המבקש מודה בסעיף 3 לבקשתו כי במועד ההחלטה "היה התינוק אך סמוך ללידתו". קיומו של התינוק והצורך העתידי במסגרות היו ידועים לו בעת שנטל על עצמו את החיוב. גדילת ילדים אינה שינוי נסיבות מהותי — היא מהלכם הטבעי של החיים.</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טענת ההכבדה הכלכלית נטענת בעלמא וללא כל תשתית ראייתית: המבקש לא צירף ולו תלוש שכר אחד, דף חשבון בנק, אסמכתה להכנסותיו או לוח סילוקין. המבקש, העובד בעבודה מסודרת, נמנע עד היום מלחשוף את מלוא הכנסותיו ומצבו הכלכלי. מי שמבקש לשנות החלטה שיפוטית בטענה לחוסר יכולת כלכלית, נדרש להציג תמונה מלאה ומגובה באסמכתאות של מצבו הכלכלי.</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זאת ועוד — ובניגוד למשיבה, המבקש אף לא הגיש כתב הגנה בתביעה הכרוכה, התלויה ועומדת מזה כ-10 חודשים. ככל שהמבקש סבור כי תשלום המשכנתה מכביד עליו, הרי שההכבדה נובעת, בין היתר, מהמשך החזקת דירת הצדדים ומאי-קידום מכירתה במסגרת הליך הגירושין. אילו פעל המבקש לקידום ההליך ולמכירת הדירה, ניתן היה להביא לסיום חיוב המשכנתה ולהימנע מן המצב הכלכלי הנטען על ידו כיום.</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למשיבה, לעומתו, אין הכנסה ואין מקור מימון, והיא מטפלת בשלושה קטינים רכים בשנים ובהם תינוק. תשובתו למצוקתה נאמרה במפורש — "תקחי הלוואה מהמשפחה" — וזו אינה עמדה משפטית.</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אף מן הפן המשפטי אין הבקשה יכולה לעמוד, וזאת בראש ובראשונה מטעם שאינו תלוי כלל בגילם של הקטינים: כל מבחן של חלוקת נטל בין הורים נגזר מיכולתם הכלכלית היחסית. למשיבה אין כיום הכנסה כלשהי ואין לה מקור מימון; המבקש לא טען אחרת ואף לא הניח ראשית ראיה לסתור. משכך, גם לפי מבחן היכולות היחסיות שהמבקש עצמו מבקש להחיל, חלקה היחסי בהוצאות עומד כיום על אפס. חלוקה "שוויונית" בין מי שמשתכר לבין מי שנעדר הכנסה אינה שוויון, אלא היפוכו.</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לכך מצטרף — ולא בא במקומו — גילם של הקטינים. שלושת הקטינים טרם מלאו להם שש שנים, וביחס לגיל זה עומד חיובו של האב במזונותיהם ההכרחיים על מכונו כחיוב עצמאי, שאינו נגזר מהכנסת האם, להבדיל מהסדרי החלוקה שגובשו בפסיקה ביחס לגילאי 6–15. ואפילו ייאמר כי הוצאות מסגרת חינוכית אינן נמנות עם הצרכים ההכרחיים — שבנו לנקודת המוצא שבסעיף 16: משאין למשיבה הכנסה, אין מקור שממנו ניתן לגזור חלק כלשהו.</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סעד ד', המבקש לקבוע כי רישום למסגרת פרטית לא יחייב את הצד האחר אלא בהסכמה מראש ובכתב, חל ראשית כל על המבקש עצמו — הוא שרשם את גפן למסגרת הפרטית על דעת עצמו, כעולה מסעיף 10 לבקשתו ומן ההתכתבות: "גפן נרשמה לגן רות אצל זהבה ושילמתי דמי רישום". אין הוא רשאי לפעול חד-צדדית, ולאחר מכן לעתור לכלל האוסר על הצד שכנגד לעשות כן.</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אשר לסעד ז' — המשיבה היא ההורה המטפל העיקרי, מעולם לא סירבה בעניין בדיקה רפואית של הקטינה גפן, והמבקש לא צירף ולו פנייה אחת שנדחתה. המשיבה תשתף פעולה במלואה בקביעת התור, תביא את הקטינה לבדיקה ותמסור למבקש את מלוא המסמכים והמסקנות.</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אשר לסעד ו' — המשיבה תגיש כל בקשה להנחה שהיא זכאית לה; אלא שסבסוד המעונות מותנה כאמור בעבודתה, והנחת הארנונה נוגעת לנכס שהמבקש עצמו חויב בארנונה בגינו. ואשר לסעד ח' — הסעד הזמני משמעו השעיה חד-צדדית של החלטה שיפוטית תקפה, בטרם נדונה הבקשה לגופה ועל יסוד טענות שלא נתמכו במסמך; דינו להידחות על הסף.</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למען הסר ספק: המשיבה מתנגדת לבקשה על כל סעדיה, לרבות סעדים שלא נדונו לעיל בנפרד — ובכללם הסעדים שבסעיפים א'–ב' לבקשה. אין בהיעדר התייחסות פרטנית לסעד זה או אחר משום הסכמה לו, או ויתור על טענה מטענות המשיבה.</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ולבסוף — מתוך תום לב, ולא משום שיש בבקשה ממש, שבה המשיבה ומעמידה את עמדתה זו, שהעמידה בכתב בפני המבקש עוד בטרם הוגשה הבקשה.</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מבלי לגרוע מן האמור בסעיפים 16–17 לעיל, ומבלי שיהא בכך משום הודאה בטענה מטענות הבקשה, מתחייבת המשיבה כדלקמן: החל ממועד יציאתה בפועל לעבודה וקבלת משכורתה הראשונה בפועל, תישא המשיבה בחלק יחסי מעלות המסגרות החינוכיות של הקטינים, בשיעור שייגזר מהיחס שבין הכנסתה נטו לבין סך הכנסות שני הצדדים נטו, ובכל מקרה בשיעור שלא יעלה על מחצית — והכול בכפוף לתנאים אלה:</w:t>
      </w:r>
    </w:p>
    <w:p>
      <w:pPr>
        <w:bidi/>
        <w:spacing w:after="70" w:line="360" w:lineRule="auto"/>
        <w:ind w:left="900" w:hanging="420"/>
        <w:jc w:val="both"/>
      </w:pPr>
      <w:r>
        <w:rPr>
          <w:rFonts w:ascii="David" w:cs="David" w:eastAsia="David" w:hAnsi="David"/>
          <w:b w:val="false"/>
          <w:bCs w:val="false"/>
          <w:sz w:val="24"/>
          <w:szCs w:val="24"/>
          <w:rtl/>
        </w:rPr>
        <w:t xml:space="preserve">א.	</w:t>
      </w:r>
      <w:r>
        <w:rPr>
          <w:rFonts w:ascii="David" w:cs="David" w:eastAsia="David" w:hAnsi="David"/>
          <w:b w:val="false"/>
          <w:bCs w:val="false"/>
          <w:sz w:val="24"/>
          <w:szCs w:val="24"/>
          <w:rtl/>
        </w:rPr>
        <w:t xml:space="preserve">החלק היחסי יחושב על העלות נטו, לאחר ניכוי כל סבסוד, הנחה, מענק או הטבה.</w:t>
      </w:r>
    </w:p>
    <w:p>
      <w:pPr>
        <w:bidi/>
        <w:spacing w:after="70" w:line="360" w:lineRule="auto"/>
        <w:ind w:left="900" w:hanging="420"/>
        <w:jc w:val="both"/>
      </w:pPr>
      <w:r>
        <w:rPr>
          <w:rFonts w:ascii="David" w:cs="David" w:eastAsia="David" w:hAnsi="David"/>
          <w:b w:val="false"/>
          <w:bCs w:val="false"/>
          <w:sz w:val="24"/>
          <w:szCs w:val="24"/>
          <w:rtl/>
        </w:rPr>
        <w:t xml:space="preserve">ב.	</w:t>
      </w:r>
      <w:r>
        <w:rPr>
          <w:rFonts w:ascii="David" w:cs="David" w:eastAsia="David" w:hAnsi="David"/>
          <w:b w:val="false"/>
          <w:bCs w:val="false"/>
          <w:sz w:val="24"/>
          <w:szCs w:val="24"/>
          <w:rtl/>
        </w:rPr>
        <w:t xml:space="preserve">המסגרת תיבחר בהיוועצות מוקדמת, ובעדיפות למסגרת ציבורית או מפוקחת ככל שקיימת.</w:t>
      </w:r>
    </w:p>
    <w:p>
      <w:pPr>
        <w:bidi/>
        <w:spacing w:after="70" w:line="360" w:lineRule="auto"/>
        <w:ind w:left="900" w:hanging="420"/>
        <w:jc w:val="both"/>
      </w:pPr>
      <w:r>
        <w:rPr>
          <w:rFonts w:ascii="David" w:cs="David" w:eastAsia="David" w:hAnsi="David"/>
          <w:b w:val="false"/>
          <w:bCs w:val="false"/>
          <w:sz w:val="24"/>
          <w:szCs w:val="24"/>
          <w:rtl/>
        </w:rPr>
        <w:t xml:space="preserve">ג.	</w:t>
      </w:r>
      <w:r>
        <w:rPr>
          <w:rFonts w:ascii="David" w:cs="David" w:eastAsia="David" w:hAnsi="David"/>
          <w:b w:val="false"/>
          <w:bCs w:val="false"/>
          <w:sz w:val="24"/>
          <w:szCs w:val="24"/>
          <w:rtl/>
        </w:rPr>
        <w:t xml:space="preserve">שיעור ההשתתפות ייבחן מחדש בכל שינוי מהותי בהכנסת מי מן הצדדים.</w:t>
      </w:r>
    </w:p>
    <w:p>
      <w:pPr>
        <w:bidi/>
        <w:spacing w:after="70" w:line="360" w:lineRule="auto"/>
        <w:ind w:left="900" w:hanging="420"/>
        <w:jc w:val="both"/>
      </w:pPr>
      <w:r>
        <w:rPr>
          <w:rFonts w:ascii="David" w:cs="David" w:eastAsia="David" w:hAnsi="David"/>
          <w:b w:val="false"/>
          <w:bCs w:val="false"/>
          <w:sz w:val="24"/>
          <w:szCs w:val="24"/>
          <w:rtl/>
        </w:rPr>
        <w:t xml:space="preserve">ד.	</w:t>
      </w:r>
      <w:r>
        <w:rPr>
          <w:rFonts w:ascii="David" w:cs="David" w:eastAsia="David" w:hAnsi="David"/>
          <w:b w:val="false"/>
          <w:bCs w:val="false"/>
          <w:sz w:val="24"/>
          <w:szCs w:val="24"/>
          <w:rtl/>
        </w:rPr>
        <w:t xml:space="preserve">הצדדים יחליפו ביניהם תלושי שכר ואישורי הכנסה, הדדית ובו-זמנית, מדי שנה וכן בכל עת שיחול שינוי כאמור.</w:t>
      </w:r>
    </w:p>
    <w:p>
      <w:pPr>
        <w:bidi/>
        <w:spacing w:after="70" w:line="360" w:lineRule="auto"/>
        <w:ind w:left="900" w:hanging="420"/>
        <w:jc w:val="both"/>
      </w:pPr>
      <w:r>
        <w:rPr>
          <w:rFonts w:ascii="David" w:cs="David" w:eastAsia="David" w:hAnsi="David"/>
          <w:b w:val="false"/>
          <w:bCs w:val="false"/>
          <w:sz w:val="24"/>
          <w:szCs w:val="24"/>
          <w:rtl/>
        </w:rPr>
        <w:t xml:space="preserve">ה.	</w:t>
      </w:r>
      <w:r>
        <w:rPr>
          <w:rFonts w:ascii="David" w:cs="David" w:eastAsia="David" w:hAnsi="David"/>
          <w:b w:val="false"/>
          <w:bCs w:val="false"/>
          <w:sz w:val="24"/>
          <w:szCs w:val="24"/>
          <w:rtl/>
        </w:rPr>
        <w:t xml:space="preserve">אין בהתחייבות זו כדי לחול על התקופה שקדמה ליציאתה בפועל לעבודה, ואין בה כדי ליצור חיוב רטרואקטיבי כלשהו.</w:t>
      </w:r>
    </w:p>
    <w:p>
      <w:pPr>
        <w:bidi/>
        <w:spacing w:after="70" w:line="360" w:lineRule="auto"/>
        <w:ind w:left="900" w:hanging="420"/>
        <w:jc w:val="both"/>
      </w:pPr>
      <w:r>
        <w:rPr>
          <w:rFonts w:ascii="David" w:cs="David" w:eastAsia="David" w:hAnsi="David"/>
          <w:b w:val="false"/>
          <w:bCs w:val="false"/>
          <w:sz w:val="24"/>
          <w:szCs w:val="24"/>
          <w:rtl/>
        </w:rPr>
        <w:t xml:space="preserve">ו.	</w:t>
      </w:r>
      <w:r>
        <w:rPr>
          <w:rFonts w:ascii="David" w:cs="David" w:eastAsia="David" w:hAnsi="David"/>
          <w:b w:val="false"/>
          <w:bCs w:val="false"/>
          <w:sz w:val="24"/>
          <w:szCs w:val="24"/>
          <w:rtl/>
        </w:rPr>
        <w:t xml:space="preserve">ההתחייבות מותנית בכך שהמבקש יעמוד במלוא חיוביו לפי החלטת 12.2.2026 עד לאותו מועד.</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עד לאותו מועד עומדת החלטת 12.2.2026 בעינה במלואה, והמבקש חייב במלוא תשלומי המסגרות החינוכיות של שלושת הקטינים, לרבות דמי הרישום.</w:t>
      </w:r>
    </w:p>
    <w:p>
      <w:pPr>
        <w:pStyle w:val="ListParagraph"/>
        <w:numPr>
          <w:ilvl w:val="0"/>
          <w:numId w:val="2"/>
        </w:numPr>
        <w:bidi/>
        <w:spacing w:after="140" w:line="360" w:lineRule="auto"/>
        <w:jc w:val="both"/>
      </w:pPr>
      <w:r>
        <w:rPr>
          <w:rFonts w:ascii="David" w:cs="David" w:eastAsia="David" w:hAnsi="David"/>
          <w:b/>
          <w:bCs/>
          <w:sz w:val="24"/>
          <w:szCs w:val="24"/>
          <w:rtl/>
        </w:rPr>
        <w:t xml:space="preserve">אשר על כן</w:t>
      </w:r>
      <w:r>
        <w:rPr>
          <w:rFonts w:ascii="David" w:cs="David" w:eastAsia="David" w:hAnsi="David"/>
          <w:b w:val="false"/>
          <w:bCs w:val="false"/>
          <w:sz w:val="24"/>
          <w:szCs w:val="24"/>
          <w:rtl/>
        </w:rPr>
        <w:t xml:space="preserve">, מתבקש בית הדין הנכבד להורות כדלקמן:</w:t>
      </w:r>
    </w:p>
    <w:p>
      <w:pPr>
        <w:bidi/>
        <w:spacing w:after="70" w:line="360" w:lineRule="auto"/>
        <w:ind w:left="900" w:hanging="420"/>
        <w:jc w:val="both"/>
      </w:pPr>
      <w:r>
        <w:rPr>
          <w:rFonts w:ascii="David" w:cs="David" w:eastAsia="David" w:hAnsi="David"/>
          <w:b w:val="false"/>
          <w:bCs w:val="false"/>
          <w:sz w:val="24"/>
          <w:szCs w:val="24"/>
          <w:rtl/>
        </w:rPr>
        <w:t xml:space="preserve">א.	</w:t>
      </w:r>
      <w:r>
        <w:rPr>
          <w:rFonts w:ascii="David" w:cs="David" w:eastAsia="David" w:hAnsi="David"/>
          <w:b w:val="false"/>
          <w:bCs w:val="false"/>
          <w:sz w:val="24"/>
          <w:szCs w:val="24"/>
          <w:rtl/>
        </w:rPr>
        <w:t xml:space="preserve">לדחות את הבקשה מיום 26.7.2026 על כל סעדיה.</w:t>
      </w:r>
    </w:p>
    <w:p>
      <w:pPr>
        <w:bidi/>
        <w:spacing w:after="70" w:line="360" w:lineRule="auto"/>
        <w:ind w:left="900" w:hanging="420"/>
        <w:jc w:val="both"/>
      </w:pPr>
      <w:r>
        <w:rPr>
          <w:rFonts w:ascii="David" w:cs="David" w:eastAsia="David" w:hAnsi="David"/>
          <w:b w:val="false"/>
          <w:bCs w:val="false"/>
          <w:sz w:val="24"/>
          <w:szCs w:val="24"/>
          <w:rtl/>
        </w:rPr>
        <w:t xml:space="preserve">ב.	</w:t>
      </w:r>
      <w:r>
        <w:rPr>
          <w:rFonts w:ascii="David" w:cs="David" w:eastAsia="David" w:hAnsi="David"/>
          <w:b w:val="false"/>
          <w:bCs w:val="false"/>
          <w:sz w:val="24"/>
          <w:szCs w:val="24"/>
          <w:rtl/>
        </w:rPr>
        <w:t xml:space="preserve">לדחות על הסף את הסעד הזמני שבסעיף ח' לבקשה, ולהצהיר כי החלטת 12.2.2026 עומדת בעינה במלואה עד להכרעה אחרת.</w:t>
      </w:r>
    </w:p>
    <w:p>
      <w:pPr>
        <w:bidi/>
        <w:spacing w:after="70" w:line="360" w:lineRule="auto"/>
        <w:ind w:left="900" w:hanging="420"/>
        <w:jc w:val="both"/>
      </w:pPr>
      <w:r>
        <w:rPr>
          <w:rFonts w:ascii="David" w:cs="David" w:eastAsia="David" w:hAnsi="David"/>
          <w:b w:val="false"/>
          <w:bCs w:val="false"/>
          <w:sz w:val="24"/>
          <w:szCs w:val="24"/>
          <w:rtl/>
        </w:rPr>
        <w:t xml:space="preserve">ג.	</w:t>
      </w:r>
      <w:r>
        <w:rPr>
          <w:rFonts w:ascii="David" w:cs="David" w:eastAsia="David" w:hAnsi="David"/>
          <w:b w:val="false"/>
          <w:bCs w:val="false"/>
          <w:sz w:val="24"/>
          <w:szCs w:val="24"/>
          <w:rtl/>
        </w:rPr>
        <w:t xml:space="preserve">לחייב את המבקש להמציא בתוך 7 ימים תלושי שכר לשלושה חודשים, דפי חשבון בנק לשישה חודשים ואסמכתאות להוצאותיו הנטענות.</w:t>
      </w:r>
    </w:p>
    <w:p>
      <w:pPr>
        <w:bidi/>
        <w:spacing w:after="70" w:line="360" w:lineRule="auto"/>
        <w:ind w:left="900" w:hanging="420"/>
        <w:jc w:val="both"/>
      </w:pPr>
      <w:r>
        <w:rPr>
          <w:rFonts w:ascii="David" w:cs="David" w:eastAsia="David" w:hAnsi="David"/>
          <w:b w:val="false"/>
          <w:bCs w:val="false"/>
          <w:sz w:val="24"/>
          <w:szCs w:val="24"/>
          <w:rtl/>
        </w:rPr>
        <w:t xml:space="preserve">ד.	</w:t>
      </w:r>
      <w:r>
        <w:rPr>
          <w:rFonts w:ascii="David" w:cs="David" w:eastAsia="David" w:hAnsi="David"/>
          <w:b w:val="false"/>
          <w:bCs w:val="false"/>
          <w:sz w:val="24"/>
          <w:szCs w:val="24"/>
          <w:rtl/>
        </w:rPr>
        <w:t xml:space="preserve">לחייב את המבקש להמציא אסמכתאות לעלות המסגרות ולהיעדר מקום במסגרת ציבורית, ולהבהיר את הסכום 7,600 ש"ח שמסר לגננת.</w:t>
      </w:r>
    </w:p>
    <w:p>
      <w:pPr>
        <w:bidi/>
        <w:spacing w:after="70" w:line="360" w:lineRule="auto"/>
        <w:ind w:left="900" w:hanging="420"/>
        <w:jc w:val="both"/>
      </w:pPr>
      <w:r>
        <w:rPr>
          <w:rFonts w:ascii="David" w:cs="David" w:eastAsia="David" w:hAnsi="David"/>
          <w:b w:val="false"/>
          <w:bCs w:val="false"/>
          <w:sz w:val="24"/>
          <w:szCs w:val="24"/>
          <w:rtl/>
        </w:rPr>
        <w:t xml:space="preserve">ה.	</w:t>
      </w:r>
      <w:r>
        <w:rPr>
          <w:rFonts w:ascii="David" w:cs="David" w:eastAsia="David" w:hAnsi="David"/>
          <w:b w:val="false"/>
          <w:bCs w:val="false"/>
          <w:sz w:val="24"/>
          <w:szCs w:val="24"/>
          <w:rtl/>
        </w:rPr>
        <w:t xml:space="preserve">לחייב את המבקש להגיש כתב הגנה בתביעה הכרוכה בתוך 30 יום.</w:t>
      </w:r>
    </w:p>
    <w:p>
      <w:pPr>
        <w:bidi/>
        <w:spacing w:after="70" w:line="360" w:lineRule="auto"/>
        <w:ind w:left="900" w:hanging="420"/>
        <w:jc w:val="both"/>
      </w:pPr>
      <w:r>
        <w:rPr>
          <w:rFonts w:ascii="David" w:cs="David" w:eastAsia="David" w:hAnsi="David"/>
          <w:b w:val="false"/>
          <w:bCs w:val="false"/>
          <w:sz w:val="24"/>
          <w:szCs w:val="24"/>
          <w:rtl/>
        </w:rPr>
        <w:t xml:space="preserve">ו.	</w:t>
      </w:r>
      <w:r>
        <w:rPr>
          <w:rFonts w:ascii="David" w:cs="David" w:eastAsia="David" w:hAnsi="David"/>
          <w:b w:val="false"/>
          <w:bCs w:val="false"/>
          <w:sz w:val="24"/>
          <w:szCs w:val="24"/>
          <w:rtl/>
        </w:rPr>
        <w:t xml:space="preserve">לחייב את המבקש בהוצאות המשיבה ובשכר טרחת עורך דין, לנוכח הצגתה הבלתי נכונה של עמדתה והגשת בקשה נעדרת תשתית.</w:t>
      </w:r>
    </w:p>
    <w:p>
      <w:pPr>
        <w:bidi/>
        <w:spacing w:after="70" w:line="360" w:lineRule="auto"/>
        <w:ind w:left="900" w:hanging="420"/>
        <w:jc w:val="both"/>
      </w:pPr>
      <w:r>
        <w:rPr>
          <w:rFonts w:ascii="David" w:cs="David" w:eastAsia="David" w:hAnsi="David"/>
          <w:b w:val="false"/>
          <w:bCs w:val="false"/>
          <w:sz w:val="24"/>
          <w:szCs w:val="24"/>
          <w:rtl/>
        </w:rPr>
        <w:t xml:space="preserve">ז.	</w:t>
      </w:r>
      <w:r>
        <w:rPr>
          <w:rFonts w:ascii="David" w:cs="David" w:eastAsia="David" w:hAnsi="David"/>
          <w:b w:val="false"/>
          <w:bCs w:val="false"/>
          <w:sz w:val="24"/>
          <w:szCs w:val="24"/>
          <w:rtl/>
        </w:rPr>
        <w:t xml:space="preserve">ליתן כל סעד אחר שבית הדין הנכבד ימצא לנכון.</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תצהיר לאימות העובדות מצורף בזה, וכן נספחים א'–ו' (העתקי ההתכתבויות בין הצדדים) ונספח ז' (מבחני התמיכה לסבסוד שכר לימוד במעון או במשפחתון).</w:t>
      </w:r>
    </w:p>
    <w:p>
      <w:pPr>
        <w:spacing w:after="300"/>
      </w:pPr>
    </w:p>
    <w:p>
      <w:pPr>
        <w:bidi/>
        <w:spacing w:line="260" w:lineRule="auto"/>
        <w:jc w:val="center"/>
      </w:pPr>
      <w:r>
        <w:rPr>
          <w:rFonts w:ascii="David" w:cs="David" w:eastAsia="David" w:hAnsi="David"/>
          <w:b w:val="false"/>
          <w:bCs w:val="false"/>
          <w:sz w:val="24"/>
          <w:szCs w:val="24"/>
          <w:rtl/>
        </w:rPr>
        <w:t xml:space="preserve">_______________________</w:t>
      </w:r>
    </w:p>
    <w:p>
      <w:pPr>
        <w:bidi/>
        <w:spacing w:line="260" w:lineRule="auto"/>
        <w:jc w:val="center"/>
      </w:pPr>
      <w:r>
        <w:rPr>
          <w:rFonts w:ascii="David" w:cs="David" w:eastAsia="David" w:hAnsi="David"/>
          <w:b/>
          <w:bCs/>
          <w:sz w:val="24"/>
          <w:szCs w:val="24"/>
          <w:rtl/>
        </w:rPr>
        <w:t xml:space="preserve">____________, עו"ד</w:t>
      </w:r>
    </w:p>
    <w:p>
      <w:pPr>
        <w:bidi/>
        <w:spacing w:after="300" w:line="260" w:lineRule="auto"/>
        <w:jc w:val="center"/>
      </w:pPr>
      <w:r>
        <w:rPr>
          <w:rFonts w:ascii="David" w:cs="David" w:eastAsia="David" w:hAnsi="David"/>
          <w:b w:val="false"/>
          <w:bCs w:val="false"/>
          <w:sz w:val="24"/>
          <w:szCs w:val="24"/>
          <w:rtl/>
        </w:rPr>
        <w:t xml:space="preserve">ב"כ המשיבה</w:t>
      </w:r>
    </w:p>
    <w:p>
      <w:pPr>
        <w:bidi/>
        <w:spacing w:line="260" w:lineRule="auto"/>
        <w:jc w:val="start"/>
      </w:pPr>
      <w:r>
        <w:rPr>
          <w:rFonts w:ascii="David" w:cs="David" w:eastAsia="David" w:hAnsi="David"/>
          <w:b w:val="false"/>
          <w:bCs w:val="false"/>
          <w:sz w:val="24"/>
          <w:szCs w:val="24"/>
          <w:rtl/>
        </w:rPr>
        <w:t xml:space="preserve">תאריך: ____________</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20"/>
        <w:szCs w:val="20"/>
        <w:rt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450" w:hanging="4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2026-08-30T13:37:28.485Z</dcterms:created>
  <dcterms:modified xsi:type="dcterms:W3CDTF">2026-08-30T13:37:28.486Z</dcterms:modified>
</cp:coreProperties>
</file>

<file path=docProps/custom.xml><?xml version="1.0" encoding="utf-8"?>
<Properties xmlns="http://schemas.openxmlformats.org/officeDocument/2006/custom-properties" xmlns:vt="http://schemas.openxmlformats.org/officeDocument/2006/docPropsVTypes"/>
</file>