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240" w:before="0" w:line="240" w:lineRule="auto"/>
        <w:jc w:val="right"/>
      </w:pPr>
      <w:r>
        <w:rPr>
          <w:b w:val="0"/>
          <w:sz w:val="24"/>
          <w:u w:val="none"/>
          <w:rtl/>
          <w:szCs w:val="24"/>
        </w:rPr>
        <w:t>27/7/26</w:t>
      </w:r>
    </w:p>
    <w:p>
      <w:pPr>
        <w:bidi/>
        <w:spacing w:after="240" w:before="0" w:line="240" w:lineRule="auto"/>
        <w:jc w:val="left"/>
      </w:pPr>
      <w:r>
        <w:rPr>
          <w:b/>
          <w:sz w:val="24"/>
          <w:u w:val="none"/>
          <w:rtl/>
          <w:bCs/>
          <w:szCs w:val="24"/>
        </w:rPr>
        <w:t>בבית הדין הרבני בפתח תקווה</w:t>
      </w:r>
    </w:p>
    <w:p>
      <w:pPr>
        <w:bidi/>
        <w:spacing w:after="0" w:before="0" w:line="240" w:lineRule="auto"/>
        <w:jc w:val="left"/>
      </w:pPr>
      <w:r>
        <w:rPr>
          <w:b/>
          <w:sz w:val="24"/>
          <w:u w:val="none"/>
          <w:rtl/>
          <w:bCs/>
          <w:szCs w:val="24"/>
        </w:rPr>
        <w:t>תיק: 739403/7</w:t>
      </w:r>
    </w:p>
    <w:p>
      <w:pPr>
        <w:bidi/>
        <w:spacing w:after="480" w:before="0" w:line="240" w:lineRule="auto"/>
        <w:jc w:val="left"/>
      </w:pPr>
      <w:r>
        <w:rPr>
          <w:b/>
          <w:sz w:val="24"/>
          <w:u w:val="none"/>
          <w:rtl/>
          <w:bCs/>
          <w:szCs w:val="24"/>
        </w:rPr>
        <w:t>בפני כב' הדיינים</w:t>
      </w:r>
    </w:p>
    <w:p>
      <w:pPr>
        <w:tabs>
          <w:tab w:pos="2268" w:val="left"/>
        </w:tabs>
        <w:bidi/>
        <w:spacing w:after="240" w:before="0" w:line="240" w:lineRule="auto"/>
        <w:jc w:val="left"/>
      </w:pPr>
      <w:r>
        <w:rPr>
          <w:b/>
          <w:sz w:val="24"/>
          <w:u w:val="none"/>
          <w:rtl/>
          <w:bCs/>
          <w:szCs w:val="24"/>
        </w:rPr>
        <w:t>המבקש:</w:t>
      </w:r>
      <w:r>
        <w:rPr>
          <w:b w:val="0"/>
          <w:sz w:val="24"/>
          <w:u w:val="none"/>
          <w:rtl/>
          <w:szCs w:val="24"/>
        </w:rPr>
        <w:tab/>
      </w:r>
      <w:r>
        <w:rPr>
          <w:b/>
          <w:sz w:val="24"/>
          <w:u w:val="none"/>
          <w:rtl/>
          <w:bCs/>
          <w:szCs w:val="24"/>
        </w:rPr>
        <w:t>הבטה טגאדייה</w:t>
      </w:r>
      <w:r>
        <w:rPr>
          <w:b w:val="0"/>
          <w:sz w:val="24"/>
          <w:u w:val="none"/>
          <w:rtl/>
          <w:szCs w:val="24"/>
        </w:rPr>
        <w:t xml:space="preserve">, ת.ז </w:t>
      </w:r>
      <w:r>
        <w:rPr>
          <w:b/>
          <w:sz w:val="24"/>
          <w:u w:val="none"/>
          <w:rtl/>
          <w:bCs/>
          <w:szCs w:val="24"/>
        </w:rPr>
        <w:t>309787216</w:t>
      </w:r>
    </w:p>
    <w:p>
      <w:pPr>
        <w:tabs>
          <w:tab w:pos="2268" w:val="left"/>
        </w:tabs>
        <w:bidi/>
        <w:spacing w:after="240" w:before="0" w:line="240" w:lineRule="auto"/>
        <w:jc w:val="left"/>
      </w:pPr>
      <w:r>
        <w:rPr>
          <w:b w:val="0"/>
          <w:sz w:val="24"/>
          <w:u w:val="none"/>
          <w:rtl/>
          <w:szCs w:val="24"/>
        </w:rPr>
        <w:tab/>
        <w:t>ע"י ב"כ עו"ד סולומון טקה</w:t>
      </w:r>
    </w:p>
    <w:p>
      <w:pPr>
        <w:tabs>
          <w:tab w:pos="2268" w:val="left"/>
          <w:tab w:pos="3402" w:val="left"/>
        </w:tabs>
        <w:bidi/>
        <w:spacing w:after="240" w:before="0" w:line="240" w:lineRule="auto"/>
        <w:jc w:val="left"/>
      </w:pPr>
      <w:r>
        <w:rPr>
          <w:b w:val="0"/>
          <w:sz w:val="24"/>
          <w:u w:val="none"/>
          <w:rtl/>
          <w:szCs w:val="24"/>
        </w:rPr>
        <w:tab/>
        <w:tab/>
        <w:t>נגד</w:t>
      </w:r>
    </w:p>
    <w:p>
      <w:pPr>
        <w:tabs>
          <w:tab w:pos="2268" w:val="left"/>
        </w:tabs>
        <w:bidi/>
        <w:spacing w:after="240" w:before="0" w:line="240" w:lineRule="auto"/>
        <w:jc w:val="left"/>
      </w:pPr>
      <w:r>
        <w:rPr>
          <w:b/>
          <w:sz w:val="24"/>
          <w:u w:val="none"/>
          <w:rtl/>
          <w:bCs/>
          <w:szCs w:val="24"/>
        </w:rPr>
        <w:t>המשיבה:</w:t>
      </w:r>
      <w:r>
        <w:rPr>
          <w:b w:val="0"/>
          <w:sz w:val="24"/>
          <w:u w:val="none"/>
          <w:rtl/>
          <w:szCs w:val="24"/>
        </w:rPr>
        <w:tab/>
      </w:r>
      <w:r>
        <w:rPr>
          <w:b/>
          <w:sz w:val="24"/>
          <w:u w:val="none"/>
          <w:rtl/>
          <w:bCs/>
          <w:szCs w:val="24"/>
        </w:rPr>
        <w:t>אביבה טגאדייה</w:t>
      </w:r>
      <w:r>
        <w:rPr>
          <w:b w:val="0"/>
          <w:sz w:val="24"/>
          <w:u w:val="none"/>
          <w:rtl/>
          <w:szCs w:val="24"/>
        </w:rPr>
        <w:t xml:space="preserve">, ת.ז </w:t>
      </w:r>
      <w:r>
        <w:rPr>
          <w:b/>
          <w:sz w:val="24"/>
          <w:u w:val="none"/>
          <w:rtl/>
          <w:bCs/>
          <w:szCs w:val="24"/>
        </w:rPr>
        <w:t>309816544</w:t>
      </w:r>
    </w:p>
    <w:p>
      <w:pPr>
        <w:tabs>
          <w:tab w:pos="2268" w:val="left"/>
        </w:tabs>
        <w:bidi/>
        <w:spacing w:after="720" w:before="0" w:line="240" w:lineRule="auto"/>
        <w:jc w:val="left"/>
      </w:pPr>
      <w:r>
        <w:rPr>
          <w:b w:val="0"/>
          <w:sz w:val="24"/>
          <w:u w:val="none"/>
          <w:rtl/>
          <w:szCs w:val="24"/>
        </w:rPr>
        <w:tab/>
        <w:t>באמצעות ב"כ עו"ד בלה צור</w:t>
      </w:r>
    </w:p>
    <w:p>
      <w:pPr>
        <w:bidi/>
        <w:spacing w:after="360" w:before="0" w:line="240" w:lineRule="auto"/>
        <w:jc w:val="center"/>
      </w:pPr>
      <w:r>
        <w:rPr>
          <w:b/>
          <w:sz w:val="32"/>
          <w:u w:val="single"/>
          <w:rtl/>
          <w:bCs/>
          <w:szCs w:val="32"/>
        </w:rPr>
        <w:t>בקשה להבהרת מועד תחילת חיוב המבקש בתשלום דמי שכירות</w:t>
      </w:r>
    </w:p>
    <w:p>
      <w:pPr>
        <w:bidi/>
        <w:spacing w:after="240" w:before="0" w:line="360" w:lineRule="auto"/>
        <w:jc w:val="both"/>
      </w:pPr>
      <w:r>
        <w:rPr>
          <w:b w:val="0"/>
          <w:sz w:val="24"/>
          <w:u w:val="none"/>
          <w:rtl/>
          <w:szCs w:val="24"/>
        </w:rPr>
        <w:t>בית הדין הנכבד מתבקש בזאת להבהיר את מועד תחילת החיוב שהוטל על המבקש בתשלום דמי שכירות, כמפורט להלן:</w:t>
      </w:r>
    </w:p>
    <w:p>
      <w:pPr>
        <w:tabs>
          <w:tab w:pos="425" w:val="left"/>
        </w:tabs>
        <w:bidi/>
        <w:spacing w:after="200" w:before="0" w:line="360" w:lineRule="auto"/>
        <w:ind w:right="425" w:hanging="425"/>
        <w:jc w:val="both"/>
      </w:pPr>
      <w:r>
        <w:rPr>
          <w:b w:val="0"/>
          <w:sz w:val="24"/>
          <w:u w:val="none"/>
          <w:rtl/>
          <w:szCs w:val="24"/>
        </w:rPr>
        <w:t>1.</w:t>
        <w:tab/>
      </w:r>
      <w:r>
        <w:rPr>
          <w:b w:val="0"/>
          <w:sz w:val="24"/>
          <w:u w:val="none"/>
          <w:rtl/>
          <w:szCs w:val="24"/>
        </w:rPr>
        <w:t xml:space="preserve">בדיון שהתקיים בפני בית הדין הנכבד ביום </w:t>
      </w:r>
      <w:r>
        <w:rPr>
          <w:b/>
          <w:sz w:val="24"/>
          <w:u w:val="none"/>
          <w:rtl/>
          <w:bCs/>
          <w:szCs w:val="24"/>
        </w:rPr>
        <w:t>22.6.2026</w:t>
      </w:r>
      <w:r>
        <w:rPr>
          <w:b w:val="0"/>
          <w:sz w:val="24"/>
          <w:u w:val="none"/>
          <w:rtl/>
          <w:szCs w:val="24"/>
        </w:rPr>
        <w:t xml:space="preserve"> נקבע כי על המבקש לשלם לתובעת, אשתו, 40% מדמי השכירות.</w:t>
      </w:r>
    </w:p>
    <w:p>
      <w:pPr>
        <w:tabs>
          <w:tab w:pos="425" w:val="left"/>
        </w:tabs>
        <w:bidi/>
        <w:spacing w:after="200" w:before="0" w:line="360" w:lineRule="auto"/>
        <w:ind w:right="425" w:hanging="425"/>
        <w:jc w:val="both"/>
      </w:pPr>
      <w:r>
        <w:rPr>
          <w:b w:val="0"/>
          <w:sz w:val="24"/>
          <w:u w:val="none"/>
          <w:rtl/>
          <w:szCs w:val="24"/>
        </w:rPr>
        <w:t>2.</w:t>
        <w:tab/>
      </w:r>
      <w:r>
        <w:rPr>
          <w:b w:val="0"/>
          <w:sz w:val="24"/>
          <w:u w:val="none"/>
          <w:rtl/>
          <w:szCs w:val="24"/>
        </w:rPr>
        <w:t>ואולם, במסגרת הדיון לא נקבע ולא צוין ממתי מתחיל החיוב האמור, ואף בפרוטוקול הדיון אין קביעה מפורשת בעניין זה.</w:t>
      </w:r>
    </w:p>
    <w:p>
      <w:pPr>
        <w:tabs>
          <w:tab w:pos="425" w:val="left"/>
        </w:tabs>
        <w:bidi/>
        <w:spacing w:after="200" w:before="0" w:line="360" w:lineRule="auto"/>
        <w:ind w:right="425" w:hanging="425"/>
        <w:jc w:val="both"/>
      </w:pPr>
      <w:r>
        <w:rPr>
          <w:b w:val="0"/>
          <w:sz w:val="24"/>
          <w:u w:val="none"/>
          <w:rtl/>
          <w:szCs w:val="24"/>
        </w:rPr>
        <w:t>3.</w:t>
        <w:tab/>
      </w:r>
      <w:r>
        <w:rPr>
          <w:b w:val="0"/>
          <w:sz w:val="24"/>
          <w:u w:val="none"/>
          <w:rtl/>
          <w:szCs w:val="24"/>
        </w:rPr>
        <w:t>בהיעדר קביעה מפורשת באשר למועד תחילת החיוב, נדרשת הבהרת בית הדין הנכבד בשאלה זו, ובפרט האם החיוב חל ממועד הדיון, ממועד מתן ההחלטה, או ממועד אחר שיקבע בית הדין.</w:t>
      </w:r>
    </w:p>
    <w:p>
      <w:pPr>
        <w:tabs>
          <w:tab w:pos="425" w:val="left"/>
        </w:tabs>
        <w:bidi/>
        <w:spacing w:after="200" w:before="0" w:line="360" w:lineRule="auto"/>
        <w:ind w:right="425" w:hanging="425"/>
        <w:jc w:val="both"/>
      </w:pPr>
      <w:r>
        <w:rPr>
          <w:b w:val="0"/>
          <w:sz w:val="24"/>
          <w:u w:val="none"/>
          <w:rtl/>
          <w:szCs w:val="24"/>
        </w:rPr>
        <w:t>4.</w:t>
        <w:tab/>
      </w:r>
      <w:r>
        <w:rPr>
          <w:b w:val="0"/>
          <w:sz w:val="24"/>
          <w:u w:val="none"/>
          <w:rtl/>
          <w:szCs w:val="24"/>
        </w:rPr>
        <w:t>להשלמת התמונה יצוין, כי בדיון התברר שהתובעת אינה זכאית לסיוע בשכר דירה, נוכח הוראות הדין החדש החלות על מי שהייתה בבעלותה דירה במהלך חמש השנים האחרונות. ככל שיש בכך כדי להשפיע על החיוב או על מועד תחילתו, מתבקש בית הדין להבהיר זאת.</w:t>
      </w:r>
    </w:p>
    <w:p>
      <w:pPr>
        <w:tabs>
          <w:tab w:pos="425" w:val="left"/>
        </w:tabs>
        <w:bidi/>
        <w:spacing w:after="200" w:before="0" w:line="360" w:lineRule="auto"/>
        <w:ind w:right="425" w:hanging="425"/>
        <w:jc w:val="both"/>
      </w:pPr>
      <w:r>
        <w:rPr>
          <w:b w:val="0"/>
          <w:sz w:val="24"/>
          <w:u w:val="none"/>
          <w:rtl/>
          <w:szCs w:val="24"/>
        </w:rPr>
        <w:t>5.</w:t>
        <w:tab/>
      </w:r>
      <w:r>
        <w:rPr>
          <w:b w:val="0"/>
          <w:sz w:val="24"/>
          <w:u w:val="none"/>
          <w:rtl/>
          <w:szCs w:val="24"/>
        </w:rPr>
        <w:t xml:space="preserve">עם זאת יודגש, כי אין מדובר במסלול חסום, שכן פתוחה בפני התובעת האפשרות להגיש בקשה מיוחדת לקבלת סיוע בשכר דירה, אשר תיבחן בוועדת החריגים לדיור. בעניינה של התובעת קיימים נתונים התומכים בבקשה כאמור, ובכללם קבלת קצבת נכות כללית בשיעור נכות של </w:t>
      </w:r>
      <w:r>
        <w:rPr>
          <w:b/>
          <w:sz w:val="24"/>
          <w:u w:val="none"/>
          <w:rtl/>
          <w:bCs/>
          <w:szCs w:val="24"/>
        </w:rPr>
        <w:t>75%</w:t>
      </w:r>
      <w:r>
        <w:rPr>
          <w:b w:val="0"/>
          <w:sz w:val="24"/>
          <w:u w:val="none"/>
          <w:rtl/>
          <w:szCs w:val="24"/>
        </w:rPr>
        <w:t>, מכירת הדירה שהייתה בבעלות משותפת של הצדדים לפני כשנה במסגרת הליך הגירושין, היעדר רכישת דירה חלופית מאז, ומגוריה כיום בדירה שכורה מכוח חוזה שכירות תקף. משכך, בידי התובעת למצות את זכויותיה במסלול זה.</w:t>
      </w:r>
    </w:p>
    <w:p>
      <w:pPr>
        <w:tabs>
          <w:tab w:pos="425" w:val="left"/>
        </w:tabs>
        <w:bidi/>
        <w:spacing w:after="200" w:before="0" w:line="360" w:lineRule="auto"/>
        <w:ind w:right="425" w:hanging="425"/>
        <w:jc w:val="both"/>
      </w:pPr>
      <w:r>
        <w:rPr>
          <w:b w:val="0"/>
          <w:sz w:val="24"/>
          <w:u w:val="none"/>
          <w:rtl/>
          <w:szCs w:val="24"/>
        </w:rPr>
        <w:t>6.</w:t>
        <w:tab/>
      </w:r>
      <w:r>
        <w:rPr>
          <w:b w:val="0"/>
          <w:sz w:val="24"/>
          <w:u w:val="none"/>
          <w:rtl/>
          <w:szCs w:val="24"/>
        </w:rPr>
        <w:t xml:space="preserve">זאת ועוד, הבוקר, ביום </w:t>
      </w:r>
      <w:r>
        <w:rPr>
          <w:b/>
          <w:sz w:val="24"/>
          <w:u w:val="none"/>
          <w:rtl/>
          <w:bCs/>
          <w:szCs w:val="24"/>
        </w:rPr>
        <w:t>27.7.2026</w:t>
      </w:r>
      <w:r>
        <w:rPr>
          <w:b w:val="0"/>
          <w:sz w:val="24"/>
          <w:u w:val="none"/>
          <w:rtl/>
          <w:szCs w:val="24"/>
        </w:rPr>
        <w:t>, התקבלה אצל המבקש, במפתיע, הודעה מלשכת ההוצאה לפועל, שלפיה פתחה התובעת תיק הוצאה לפועל נגדו לגביית דמי שכירות.</w:t>
      </w:r>
    </w:p>
    <w:p>
      <w:pPr>
        <w:tabs>
          <w:tab w:pos="425" w:val="left"/>
        </w:tabs>
        <w:bidi/>
        <w:spacing w:after="200" w:before="0" w:line="360" w:lineRule="auto"/>
        <w:ind w:right="425" w:hanging="425"/>
        <w:jc w:val="both"/>
      </w:pPr>
      <w:r>
        <w:rPr>
          <w:b w:val="0"/>
          <w:sz w:val="24"/>
          <w:u w:val="none"/>
          <w:rtl/>
          <w:szCs w:val="24"/>
        </w:rPr>
        <w:t>7.</w:t>
        <w:tab/>
      </w:r>
      <w:r>
        <w:rPr>
          <w:b w:val="0"/>
          <w:sz w:val="24"/>
          <w:u w:val="none"/>
          <w:rtl/>
          <w:szCs w:val="24"/>
        </w:rPr>
        <w:t xml:space="preserve">פתיחת התיק כאמור תמוהה ואינה מוצדקת, שכן המבקש משלם לתובעת, מדי חודש בחודשו וממועד ההחלטה, סך של </w:t>
      </w:r>
      <w:r>
        <w:rPr>
          <w:b/>
          <w:sz w:val="24"/>
          <w:u w:val="none"/>
          <w:rtl/>
          <w:bCs/>
          <w:szCs w:val="24"/>
        </w:rPr>
        <w:t>5,450 ש"ח</w:t>
      </w:r>
      <w:r>
        <w:rPr>
          <w:b w:val="0"/>
          <w:sz w:val="24"/>
          <w:u w:val="none"/>
          <w:rtl/>
          <w:szCs w:val="24"/>
        </w:rPr>
        <w:t>, הכולל בתוכו את דמי השכירות. בנסיבות אלה, פנייה להליכי הוצאה לפועל בגין חיוב המשולם בפועל, ובטרם הובהר כלל מועד תחילת החיוב, עולה כדי שימוש לרעה בהליכי הוצאה לפועל וחוסר תום לב, ונועדה אך להכביד על המבקש שלא לצורך.</w:t>
      </w:r>
    </w:p>
    <w:p>
      <w:pPr>
        <w:tabs>
          <w:tab w:pos="425" w:val="left"/>
        </w:tabs>
        <w:bidi/>
        <w:spacing w:after="200" w:before="0" w:line="360" w:lineRule="auto"/>
        <w:ind w:right="425" w:hanging="425"/>
        <w:jc w:val="both"/>
      </w:pPr>
      <w:r>
        <w:rPr>
          <w:b w:val="0"/>
          <w:sz w:val="24"/>
          <w:u w:val="none"/>
          <w:rtl/>
          <w:szCs w:val="24"/>
        </w:rPr>
        <w:t>8.</w:t>
        <w:tab/>
      </w:r>
      <w:r>
        <w:rPr>
          <w:b w:val="0"/>
          <w:sz w:val="24"/>
          <w:u w:val="none"/>
          <w:rtl/>
          <w:szCs w:val="24"/>
        </w:rPr>
        <w:t>אשר על כן, מתבקש בית הדין הנכבד להבהיר את מועד תחילת חיובו של המבקש בתשלום 40% מדמי השכירות כאמור, ולקבוע מועד זה במפורש - הבהרה הנדרשת ביתר שאת נוכח הליכי ההוצאה לפועל שנפתחו כאמור.</w:t>
      </w:r>
    </w:p>
    <w:p>
      <w:pPr>
        <w:bidi/>
        <w:spacing w:after="480" w:before="0" w:line="240" w:lineRule="auto"/>
        <w:jc w:val="left"/>
      </w:pPr>
      <w:r>
        <w:rPr>
          <w:b w:val="0"/>
          <w:sz w:val="24"/>
          <w:u w:val="none"/>
          <w:rtl/>
          <w:szCs w:val="24"/>
        </w:rPr>
      </w:r>
    </w:p>
    <w:p>
      <w:pPr>
        <w:bidi/>
        <w:spacing w:after="0" w:before="0" w:line="240" w:lineRule="auto"/>
        <w:jc w:val="right"/>
      </w:pPr>
      <w:r>
        <w:rPr>
          <w:b w:val="0"/>
          <w:sz w:val="24"/>
          <w:u w:val="none"/>
          <w:rtl/>
          <w:szCs w:val="24"/>
        </w:rPr>
      </w:r>
      <w:r>
        <w:drawing>
          <wp:inline xmlns:a="http://schemas.openxmlformats.org/drawingml/2006/main" xmlns:pic="http://schemas.openxmlformats.org/drawingml/2006/picture">
            <wp:extent cx="1152000" cy="528768"/>
            <wp:docPr id="1" name="Picture 1"/>
            <wp:cNvGraphicFramePr>
              <a:graphicFrameLocks noChangeAspect="1"/>
            </wp:cNvGraphicFramePr>
            <a:graphic>
              <a:graphicData uri="http://schemas.openxmlformats.org/drawingml/2006/picture">
                <pic:pic>
                  <pic:nvPicPr>
                    <pic:cNvPr id="0" name="sig.png"/>
                    <pic:cNvPicPr/>
                  </pic:nvPicPr>
                  <pic:blipFill>
                    <a:blip r:embed="rId9"/>
                    <a:stretch>
                      <a:fillRect/>
                    </a:stretch>
                  </pic:blipFill>
                  <pic:spPr>
                    <a:xfrm>
                      <a:off x="0" y="0"/>
                      <a:ext cx="1152000" cy="528768"/>
                    </a:xfrm>
                    <a:prstGeom prst="rect"/>
                  </pic:spPr>
                </pic:pic>
              </a:graphicData>
            </a:graphic>
          </wp:inline>
        </w:drawing>
      </w:r>
    </w:p>
    <w:p>
      <w:pPr>
        <w:bidi/>
        <w:spacing w:after="0" w:before="0" w:line="240" w:lineRule="auto"/>
        <w:jc w:val="right"/>
      </w:pPr>
      <w:r>
        <w:rPr>
          <w:b/>
          <w:sz w:val="24"/>
          <w:u w:val="none"/>
          <w:rtl/>
          <w:bCs/>
          <w:szCs w:val="24"/>
        </w:rPr>
        <w:t>סולומון טקה, עו"ד</w:t>
      </w:r>
    </w:p>
    <w:p>
      <w:pPr>
        <w:bidi/>
        <w:spacing w:after="0" w:before="0" w:line="240" w:lineRule="auto"/>
        <w:jc w:val="right"/>
      </w:pPr>
      <w:r>
        <w:rPr>
          <w:b/>
          <w:sz w:val="24"/>
          <w:u w:val="none"/>
          <w:rtl/>
          <w:bCs/>
          <w:szCs w:val="24"/>
        </w:rPr>
        <w:t>ב"כ המבקש</w:t>
      </w:r>
    </w:p>
    <w:sectPr w:rsidR="00FC693F" w:rsidRPr="0006063C" w:rsidSect="00034616">
      <w:pgSz w:w="11906" w:h="16838"/>
      <w:pgMar w:top="1417" w:right="1417" w:bottom="1417" w:left="1417"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avid" w:hAnsi="David" w:cs="David" w:eastAsia="David"/>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