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לפי תקנה 30: יום __________.</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ברח' צה"ל 72/6, פתח תקווה – "הדירה"; מר מנבר וונדימאג'ן ז"ל, אביה של הנתבעת ובעל החוזה – "המנוח"; הטפסים שבנספח 2 – "טופסי הביקור"; והמסמך שבנספח 4 – "הפרוטוקול".</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 עיקר הטענות</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 החלטת ועדת הלגליזציה מיום 2.9.2024 – הלוקה בשלושה פגמים, שכל אחד מהם עומד בפני עצמו.</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 xml:space="preserve">ראשית, הוחל מבחן מחמיר מזה שקבע המחוקק.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סעיף 1 לחוק זכויות הדייר בדיור הציבורי, התשנ"ח-1998, נוקב בשלוש שנים בסמוך למועד הפטירה. רשות המחילה על אדם מבחן מחמיר מזה שקבע המחוקק – החלטתה אינה יכולה לעמוד.</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ומי שערך את התשתית העובדתית ומי שהכריע על פיה באים מאותו מרכז שירות. החלטה מנהלית הפוגעת בזכות לקורת גג, שהתקבלה כך, בטלה – ובית המשפט הנכבד מתבקש לקבוע כן בדרך של תקיפה עקיפה.</w:t>
      </w:r>
    </w:p>
    <w:p>
      <w:pPr>
        <w:keepNext w:val="1"/>
        <w:keepLines w:val="1"/>
        <w:bidi w:val="1"/>
        <w:spacing w:lineRule="auto" w:line="360" w:after="80" w:before="120"/>
        <w:jc w:val="left"/>
      </w:pPr>
      <w:r>
        <w:rPr>
          <w:rFonts w:ascii="David" w:hAnsi="David" w:cs="David" w:eastAsia="David" w:hint="cs"/>
          <w:b/>
          <w:bCs w:val="1"/>
          <w:sz w:val="24"/>
          <w:szCs w:val="24"/>
          <w:u w:val="single"/>
          <w:rtl w:val="1"/>
          <w:lang w:bidi="he-IL"/>
        </w:rPr>
        <w:t>היעדר עילה – הנתבעת אינה "פולשת"</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ולעניין שיקולי הצדק. יצוין כי בטופסי "בדיקת אכלוס וגבייה" מצויה משבצת שכותרתה "חשש לנטישה/נטישה/פלישה", ובאף אחד מהם לא הוקף סימון; וכי התובעת הוסיפה לנהל את חשבון הדירה כחשבון פעיל ולזקוף הנחת מדרוג שתוקפה עד ליום 30.9.2024 – חודשים לאחר הפטירה.</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ואין לה דירה אחרת. משכך, ובניגוד לנטען בסעיפים 10, 18 ו-19, היא בתו של הזכאי ובאה בגדר "דייר ממשיך" כהגדרתו בסעיף 1 לחוק.</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 ואין זה המצב – מחייבות נסיבותיה בחינה בפני הוועדה המוסמכת לבחינת מקרים חריגים בטרם יינתן סעד של פינוי.</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שהחילה מבחן מחמיר מזה שבדין, שלא בדקה את התבחינים ולא קיימה שימוע.</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לחלופין, מתבקש בית המשפט הנכבד להורות כי לא יינתן צו פינוי בטרם יובא עניינה של הנתבעת בפני הוועדה המוסמכת לבחינת מקרים חריגים, ובטרם תוסדר לה חלופת דיור הולמת. פינוי אישה נכה בשיעור 100% מביתה היחיד אינו עולה בקנה אחד עם חוק-יסוד: כבוד האדם וחירותו ועם תכליתו של חוק זכויות הדייר בדיור הציבורי. ולחלופי חלופין – לעכב את ביצוע הפינוי לתקופה משמעותית. אשר לעתירה להוצאות מוגברות – דינה להידחות.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 טיעון עובדתי</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 הוא גם התאריך המודפס בשדה "תאריך אכלוס" בכל אחד מטופסי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עם אביה שנים ארוכות עובר לפטירתו, ובכללן שלוש השנים שקדמו לה, ומוסיפה להתגורר בה.</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התובעת סומכת את תביעתה על טופסי הביקור. אלו טפסים שמילאו נציגיה לצרכיה, והם סותרים זה את זה. בטופס מיום 3.8.2020 נרשם בשדה "גר/ה בגפו/ה" – "לא"; רישום של התובעת עצמה, בזמן אמת, ולפיו המנוח לא התגורר בדירה לבדו. בטופס מיום 21.10.2021 נותרו המשבצות שליד אותה שאלה ריקות; ובטופס מיום 18.12.2023 – האחרון בחיי המנוח –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בטופס מיום 3.7.2024 – הביקור היחיד שנערך לאחר הפטירה – נרשם בשדה ההערות: "דייר חוזי נפטר , ביקור עם הבת עדן טדלה" [כך במקור]. בהתאם לכך סומן בטבלה שבפרוטוקול, בשורת אותו ביקור, כי דייר ממשיך מתגורר בדירה; ובאותה שורה עצמה סומן כי גם הדייר החוזי מתגורר בה – אדם שנפטר ארבעה חודשים וחצי קודם לכן. הנתבעת תטען כי תהא זהות הבת אשר תהא, רישום זה נטול ערך ראייתי בשני מובניו.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 כאשר החלופות מעולם לא נמחקו. הן נגבו אגב ביקורי הגבייה, באותם מעמדים שבהם נקבעו הנחת המדרוג ומועד סיומה שבהם היה המנוח תלוי; ובטופס משנת 2010 נרשם כי הביקור נערך באמהרית, בעוד ששדה "נכח מתורגם" נותר ריק.</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המצ"ב ומסומן כנספח א'.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 הודעה שלא צורפה ולא נטענה.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 אין הכחשה לעצם קיומו של המסמך שבנספח 4, שתוכנו מדבר בעד עצמו,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 להורות כי לא יינתן צו פינוי בטרם יובא עניינה של הנתבעת בפני הוועדה המוסמכת לבחינת מקרים חריגים ובטרם תוסדר לה חלופת דיור הולמת; ולחלופי חלופין – לעכב את ביצוע הפינוי לתקופה משמעותית; ולחייב את התובעת בהוצאות ובשכ"ט עו"ד.</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 אישור ביטוח לאומי בדבר נכות הנתבעת. [להשלמה]</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 ייפוי כוח מטעם הנתבעת, לפי תקנה 9(ה).</w:t>
      </w: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2026-08-11T04:10:51Z</dcterms:created>
  <dcterms:modified xsi:type="dcterms:W3CDTF">2026-08-11T04:10:51Z</dcterms:modified>
  <cp:category/>
</cp:coreProperties>
</file>