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line="360" w:lineRule="auto" w:after="40" w:before="0"/>
        <w:jc w:val="right"/>
      </w:pPr>
      <w:r>
        <w:rPr>
          <w:rFonts w:ascii="David" w:hAnsi="David" w:cs="David" w:eastAsia="David"/>
          <w:b/>
          <w:sz w:val="24"/>
          <w:u w:val="none"/>
          <w:szCs w:val="24"/>
          <w:rtl w:val="1"/>
          <w:bCs/>
        </w:rPr>
        <w:t>בבית הדין הרבני האזורי ב____________</w:t>
      </w:r>
    </w:p>
    <w:p>
      <w:pPr>
        <w:bidi/>
        <w:spacing w:line="360" w:lineRule="auto" w:after="160" w:before="0"/>
        <w:jc w:val="right"/>
      </w:pPr>
      <w:r>
        <w:rPr>
          <w:rFonts w:ascii="David" w:hAnsi="David" w:cs="David" w:eastAsia="David"/>
          <w:b/>
          <w:sz w:val="24"/>
          <w:u w:val="none"/>
          <w:szCs w:val="24"/>
          <w:rtl w:val="1"/>
          <w:bCs/>
        </w:rPr>
        <w:t>תיק מס' ____________</w:t>
      </w:r>
    </w:p>
    <w:p>
      <w:pPr>
        <w:bidi/>
        <w:spacing w:line="360" w:lineRule="auto" w:after="0" w:before="0"/>
        <w:jc w:val="right"/>
      </w:pPr>
      <w:r>
        <w:rPr>
          <w:rFonts w:ascii="David" w:hAnsi="David" w:cs="David" w:eastAsia="David"/>
          <w:b w:val="0"/>
          <w:sz w:val="24"/>
          <w:u w:val="none"/>
          <w:szCs w:val="24"/>
          <w:rtl w:val="1"/>
        </w:rPr>
        <w:t>המבקשת:</w:t>
        <w:tab/>
        <w:t>____________, ת"ז ____________</w:t>
      </w:r>
    </w:p>
    <w:p>
      <w:pPr>
        <w:bidi/>
        <w:spacing w:line="360" w:lineRule="auto" w:after="80" w:before="0"/>
        <w:jc w:val="right"/>
      </w:pPr>
      <w:r>
        <w:rPr>
          <w:rFonts w:ascii="David" w:hAnsi="David" w:cs="David" w:eastAsia="David"/>
          <w:b w:val="0"/>
          <w:sz w:val="24"/>
          <w:u w:val="none"/>
          <w:szCs w:val="24"/>
          <w:rtl w:val="1"/>
        </w:rPr>
        <w:t>(להלן: "המבקשת")</w:t>
      </w:r>
    </w:p>
    <w:p>
      <w:pPr>
        <w:bidi/>
        <w:spacing w:line="360" w:lineRule="auto" w:after="80" w:before="0"/>
        <w:jc w:val="center"/>
      </w:pPr>
      <w:r>
        <w:rPr>
          <w:rFonts w:ascii="David" w:hAnsi="David" w:cs="David" w:eastAsia="David"/>
          <w:b/>
          <w:sz w:val="24"/>
          <w:u w:val="none"/>
          <w:szCs w:val="24"/>
          <w:rtl w:val="1"/>
          <w:bCs/>
        </w:rPr>
        <w:t>- נ ג ד -</w:t>
      </w:r>
    </w:p>
    <w:p>
      <w:pPr>
        <w:bidi/>
        <w:spacing w:line="360" w:lineRule="auto" w:after="0" w:before="0"/>
        <w:jc w:val="right"/>
      </w:pPr>
      <w:r>
        <w:rPr>
          <w:rFonts w:ascii="David" w:hAnsi="David" w:cs="David" w:eastAsia="David"/>
          <w:b w:val="0"/>
          <w:sz w:val="24"/>
          <w:u w:val="none"/>
          <w:szCs w:val="24"/>
          <w:rtl w:val="1"/>
        </w:rPr>
        <w:t>המשיב:</w:t>
        <w:tab/>
        <w:t>____________, ת"ז ____________</w:t>
      </w:r>
    </w:p>
    <w:p>
      <w:pPr>
        <w:bidi/>
        <w:spacing w:line="360" w:lineRule="auto" w:after="200" w:before="0"/>
        <w:jc w:val="right"/>
      </w:pPr>
      <w:r>
        <w:rPr>
          <w:rFonts w:ascii="David" w:hAnsi="David" w:cs="David" w:eastAsia="David"/>
          <w:b w:val="0"/>
          <w:sz w:val="24"/>
          <w:u w:val="none"/>
          <w:szCs w:val="24"/>
          <w:rtl w:val="1"/>
        </w:rPr>
        <w:t>(להלן: "המשיב")</w:t>
      </w:r>
    </w:p>
    <w:p>
      <w:pPr>
        <w:bidi/>
        <w:spacing w:line="360" w:lineRule="auto" w:after="200" w:before="0"/>
        <w:jc w:val="center"/>
      </w:pPr>
      <w:r>
        <w:rPr>
          <w:rFonts w:ascii="David" w:hAnsi="David" w:cs="David" w:eastAsia="David"/>
          <w:b/>
          <w:sz w:val="30"/>
          <w:u w:val="single"/>
          <w:szCs w:val="30"/>
          <w:rtl w:val="1"/>
          <w:bCs/>
          <w:u w:val="single"/>
        </w:rPr>
        <w:t>תגובת המשיב לבקשת המבקשת להשבת מחצית ההוצאות בגין הילדים</w:t>
      </w:r>
    </w:p>
    <w:p>
      <w:pPr>
        <w:bidi/>
        <w:spacing w:line="360" w:lineRule="auto" w:after="160" w:before="0"/>
        <w:jc w:val="both"/>
      </w:pPr>
      <w:r>
        <w:rPr>
          <w:rFonts w:ascii="David" w:hAnsi="David" w:cs="David" w:eastAsia="David"/>
          <w:b w:val="0"/>
          <w:sz w:val="24"/>
          <w:u w:val="none"/>
          <w:szCs w:val="24"/>
          <w:rtl w:val="1"/>
        </w:rPr>
        <w:t>מתכבד המשיב להגיש את תגובתו לבקשת המבקשת להשבת מחצית ההוצאות הנטענות בגין הילדים (להלן: "הבקשה"). כבוד בית הדין הנכבד מתבקש בזאת לדחות את הבקשה על כל חלקיה, ולחייב את המבקשת בהוצאות המשיב, ואלו נימוקי התגובה:</w:t>
      </w:r>
    </w:p>
    <w:p>
      <w:pPr>
        <w:bidi/>
        <w:spacing w:line="360" w:lineRule="auto" w:after="120"/>
        <w:ind w:left="425" w:hanging="425"/>
        <w:jc w:val="both"/>
      </w:pPr>
      <w:r>
        <w:rPr>
          <w:rFonts w:ascii="David" w:hAnsi="David" w:cs="David" w:eastAsia="David"/>
          <w:b w:val="0"/>
          <w:sz w:val="24"/>
          <w:u w:val="none"/>
          <w:szCs w:val="24"/>
          <w:rtl w:val="1"/>
        </w:rPr>
        <w:t>1.</w:t>
        <w:tab/>
      </w:r>
      <w:r>
        <w:rPr>
          <w:rFonts w:ascii="David" w:hAnsi="David" w:cs="David" w:eastAsia="David"/>
          <w:b w:val="0"/>
          <w:sz w:val="24"/>
          <w:u w:val="none"/>
          <w:szCs w:val="24"/>
          <w:rtl w:val="1"/>
        </w:rPr>
        <w:t>הבקשה דנא סתמית, כללית ונעדרת כל פירוט או אסמכתא. המבקשת עותרת ל"מחצית ההוצאות" בגין הילדים — בלא שנקבה ולו בסכום אחד, במועד אחד או בסוג הוצאה אחד, ובלא שצירפה ולו אסמכתא, קבלה או חשבונית אחת. די בכך כדי לדחות את הבקשה על הסף.</w:t>
      </w:r>
    </w:p>
    <w:p>
      <w:pPr>
        <w:bidi/>
        <w:spacing w:line="360" w:lineRule="auto" w:after="120"/>
        <w:ind w:left="425" w:hanging="425"/>
        <w:jc w:val="both"/>
      </w:pPr>
      <w:r>
        <w:rPr>
          <w:rFonts w:ascii="David" w:hAnsi="David" w:cs="David" w:eastAsia="David"/>
          <w:b w:val="0"/>
          <w:sz w:val="24"/>
          <w:u w:val="none"/>
          <w:szCs w:val="24"/>
          <w:rtl w:val="1"/>
        </w:rPr>
        <w:t>2.</w:t>
        <w:tab/>
      </w:r>
      <w:r>
        <w:rPr>
          <w:rFonts w:ascii="David" w:hAnsi="David" w:cs="David" w:eastAsia="David"/>
          <w:b w:val="0"/>
          <w:sz w:val="24"/>
          <w:u w:val="none"/>
          <w:szCs w:val="24"/>
          <w:rtl w:val="1"/>
        </w:rPr>
        <w:t>ודוק; המבקש השבה — עליו הנטל להוכיח את עצם ההוצאה, את שיעורה ואת מועדה, שכן "המוציא מחברו עליו הראיה". המבקשת לא זו בלבד שלא הרימה נטל זה — היא כלל לא ניסתה להרימו. תמהני כיצד מתבקש בית הדין הנכבד לחייב את המשיב בהשבת "מחצית" הוצאות אשר לא פורטו ולא הוכחו. לא יאומן כי יסופר.</w:t>
      </w:r>
    </w:p>
    <w:p>
      <w:pPr>
        <w:bidi/>
        <w:spacing w:line="360" w:lineRule="auto" w:after="120"/>
        <w:ind w:left="425" w:hanging="425"/>
        <w:jc w:val="both"/>
      </w:pPr>
      <w:r>
        <w:rPr>
          <w:rFonts w:ascii="David" w:hAnsi="David" w:cs="David" w:eastAsia="David"/>
          <w:b w:val="0"/>
          <w:sz w:val="24"/>
          <w:u w:val="none"/>
          <w:szCs w:val="24"/>
          <w:rtl w:val="1"/>
        </w:rPr>
        <w:t>3.</w:t>
        <w:tab/>
      </w:r>
      <w:r>
        <w:rPr>
          <w:rFonts w:ascii="David" w:hAnsi="David" w:cs="David" w:eastAsia="David"/>
          <w:b w:val="0"/>
          <w:sz w:val="24"/>
          <w:u w:val="none"/>
          <w:szCs w:val="24"/>
          <w:rtl w:val="1"/>
        </w:rPr>
        <w:t>זאת ועוד; משהוגשה בקשה עמומה, נעדרת פירוט ואסמכתאות, אין המשיב יכול אף להתגונן מפניה כדבעי — אין הוא יודע אילו הוצאות נטענות, אימתי הוצאו, בגין מה ומכוח מה.</w:t>
      </w:r>
    </w:p>
    <w:p>
      <w:pPr>
        <w:keepNext/>
        <w:bidi/>
        <w:spacing w:line="360" w:lineRule="auto" w:after="80" w:before="160"/>
        <w:jc w:val="right"/>
      </w:pPr>
      <w:r>
        <w:rPr>
          <w:rFonts w:ascii="David" w:hAnsi="David" w:cs="David" w:eastAsia="David"/>
          <w:b/>
          <w:sz w:val="24"/>
          <w:u w:val="single"/>
          <w:szCs w:val="24"/>
          <w:rtl w:val="1"/>
          <w:bCs/>
          <w:u w:val="single"/>
        </w:rPr>
        <w:t>לגופם של דברים — המשיב הוא הנושא העיקרי בהוצאות הילדים</w:t>
      </w:r>
    </w:p>
    <w:p>
      <w:pPr>
        <w:bidi/>
        <w:spacing w:line="360" w:lineRule="auto" w:after="120"/>
        <w:ind w:left="425" w:hanging="425"/>
        <w:jc w:val="both"/>
      </w:pPr>
      <w:r>
        <w:rPr>
          <w:rFonts w:ascii="David" w:hAnsi="David" w:cs="David" w:eastAsia="David"/>
          <w:b w:val="0"/>
          <w:sz w:val="24"/>
          <w:u w:val="none"/>
          <w:szCs w:val="24"/>
          <w:rtl w:val="1"/>
        </w:rPr>
        <w:t>4.</w:t>
        <w:tab/>
      </w:r>
      <w:r>
        <w:rPr>
          <w:rFonts w:ascii="David" w:hAnsi="David" w:cs="David" w:eastAsia="David"/>
          <w:b w:val="0"/>
          <w:sz w:val="24"/>
          <w:u w:val="none"/>
          <w:szCs w:val="24"/>
          <w:rtl w:val="1"/>
        </w:rPr>
        <w:t>הבקשה מתעלמת מן המציאות: המשיב הוא הנושא, מאז ומעולם ועד היום, בעיקר נטל ההוצאות בגין הילדים — תשלומי קופת החולים (אף בגין המבקשת), מלוא הוצאות הגן של הקטין עילי, וכן חגים, חופשות, טיולים ומסעדות — הכל ללא כל השתתפות מצדה, ומבלי שדרש ממנה מעולם מחצית.</w:t>
      </w:r>
    </w:p>
    <w:p>
      <w:pPr>
        <w:bidi/>
        <w:spacing w:line="360" w:lineRule="auto" w:after="120"/>
        <w:ind w:left="425" w:hanging="425"/>
        <w:jc w:val="both"/>
      </w:pPr>
      <w:r>
        <w:rPr>
          <w:rFonts w:ascii="David" w:hAnsi="David" w:cs="David" w:eastAsia="David"/>
          <w:b w:val="0"/>
          <w:sz w:val="24"/>
          <w:u w:val="none"/>
          <w:szCs w:val="24"/>
          <w:rtl w:val="1"/>
        </w:rPr>
        <w:t>5.</w:t>
        <w:tab/>
      </w:r>
      <w:r>
        <w:rPr>
          <w:rFonts w:ascii="David" w:hAnsi="David" w:cs="David" w:eastAsia="David"/>
          <w:b w:val="0"/>
          <w:sz w:val="24"/>
          <w:u w:val="none"/>
          <w:szCs w:val="24"/>
          <w:rtl w:val="1"/>
        </w:rPr>
        <w:t>ודוק; המבקשת נהנית מכיסו של המשיב ובה בעת עותרת לחייבו ב"מחצית" הוצאות מעורפלות. בעוד הוא נושא בעין יפה, מתחשבנת היא על כל דבר ועניין — בקשה הלוקה בחוסר תום לב ובהיעדר ניקיון כפיים, שעה שמעולם לא נשאה במחצית הוצאותיו.</w:t>
      </w:r>
    </w:p>
    <w:p>
      <w:pPr>
        <w:bidi/>
        <w:spacing w:line="360" w:lineRule="auto" w:after="120"/>
        <w:ind w:left="425" w:hanging="425"/>
        <w:jc w:val="both"/>
      </w:pPr>
      <w:r>
        <w:rPr>
          <w:rFonts w:ascii="David" w:hAnsi="David" w:cs="David" w:eastAsia="David"/>
          <w:b w:val="0"/>
          <w:sz w:val="24"/>
          <w:u w:val="none"/>
          <w:szCs w:val="24"/>
          <w:rtl w:val="1"/>
        </w:rPr>
        <w:t>6.</w:t>
        <w:tab/>
      </w:r>
      <w:r>
        <w:rPr>
          <w:rFonts w:ascii="David" w:hAnsi="David" w:cs="David" w:eastAsia="David"/>
          <w:b w:val="0"/>
          <w:sz w:val="24"/>
          <w:u w:val="none"/>
          <w:szCs w:val="24"/>
          <w:rtl w:val="1"/>
        </w:rPr>
        <w:t>למעלה מן הצורך יצוין, כי ככל שיתברר שהמשיב נשא בפועל בהוצאות העולות על חלקו, שמורות לו מלוא זכויותיו לעתור להשבתן ו/או לקיזוזן כנגד כל סכום שייפסק, ככל שייפסק.</w:t>
      </w:r>
    </w:p>
    <w:p>
      <w:pPr>
        <w:bidi/>
        <w:spacing w:line="360" w:lineRule="auto" w:after="120"/>
        <w:ind w:left="425" w:hanging="425"/>
        <w:jc w:val="both"/>
      </w:pPr>
      <w:r>
        <w:rPr>
          <w:rFonts w:ascii="David" w:hAnsi="David" w:cs="David" w:eastAsia="David"/>
          <w:b w:val="0"/>
          <w:sz w:val="24"/>
          <w:u w:val="none"/>
          <w:szCs w:val="24"/>
          <w:rtl w:val="1"/>
        </w:rPr>
        <w:t>7.</w:t>
        <w:tab/>
      </w:r>
      <w:r>
        <w:rPr>
          <w:rFonts w:ascii="David" w:hAnsi="David" w:cs="David" w:eastAsia="David"/>
          <w:b w:val="0"/>
          <w:sz w:val="24"/>
          <w:u w:val="none"/>
          <w:szCs w:val="24"/>
          <w:rtl w:val="1"/>
        </w:rPr>
        <w:t>אשר על כל המקובץ לעיל, מתבקש כבוד בית הדין הנכבד לדחות את הבקשה על כל חלקיה, ולחייב את המבקשת בהוצאות המשיב.</w:t>
      </w:r>
    </w:p>
    <w:p>
      <w:pPr>
        <w:bidi/>
        <w:spacing w:line="360" w:lineRule="auto" w:after="160" w:before="0"/>
        <w:jc w:val="both"/>
      </w:pPr>
    </w:p>
    <w:p>
      <w:pPr>
        <w:bidi/>
        <w:spacing w:line="360" w:lineRule="auto" w:after="0" w:before="0"/>
        <w:jc w:val="right"/>
      </w:pPr>
      <w:r>
        <w:rPr>
          <w:rFonts w:ascii="David" w:hAnsi="David" w:cs="David" w:eastAsia="David"/>
          <w:b w:val="0"/>
          <w:sz w:val="24"/>
          <w:u w:val="none"/>
          <w:szCs w:val="24"/>
          <w:rtl w:val="1"/>
        </w:rPr>
        <w:t>_________________________</w:t>
      </w:r>
    </w:p>
    <w:p>
      <w:pPr>
        <w:bidi/>
        <w:spacing w:line="360" w:lineRule="auto" w:after="0" w:before="0"/>
        <w:jc w:val="right"/>
      </w:pPr>
      <w:r>
        <w:rPr>
          <w:rFonts w:ascii="David" w:hAnsi="David" w:cs="David" w:eastAsia="David"/>
          <w:b w:val="0"/>
          <w:sz w:val="24"/>
          <w:u w:val="none"/>
          <w:szCs w:val="24"/>
          <w:rtl w:val="1"/>
        </w:rPr>
        <w:t>____________, עו"ד</w:t>
      </w:r>
    </w:p>
    <w:p>
      <w:pPr>
        <w:bidi/>
        <w:spacing w:line="360" w:lineRule="auto" w:after="0" w:before="0"/>
        <w:jc w:val="right"/>
      </w:pPr>
      <w:r>
        <w:rPr>
          <w:rFonts w:ascii="David" w:hAnsi="David" w:cs="David" w:eastAsia="David"/>
          <w:b w:val="0"/>
          <w:sz w:val="24"/>
          <w:u w:val="none"/>
          <w:szCs w:val="24"/>
          <w:rtl w:val="1"/>
        </w:rPr>
        <w:t>ב"כ המשיב</w:t>
      </w:r>
    </w:p>
    <w:sectPr w:rsidR="00FC693F" w:rsidRPr="0006063C" w:rsidSect="00034616">
      <w:footerReference w:type="default" r:id="rId9"/>
      <w:pgSz w:w="11906" w:h="16838"/>
      <w:pgMar w:top="850" w:right="1417" w:bottom="646" w:left="1417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avid" w:hAnsi="David" w:cs="David" w:eastAsia="David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