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bidiVisual/>
      </w:tblPr>
      <w:tblGrid>
        <w:gridCol w:w="4536"/>
        <w:gridCol w:w="4536"/>
      </w:tblGrid>
      <w:tr>
        <w:tc>
          <w:tcPr>
            <w:tcW w:type="dxa" w:w="4536"/>
          </w:tcPr>
          <w:p>
            <w:pPr>
              <w:bidi/>
              <w:spacing w:after="0" w:before="0" w:line="240" w:lineRule="auto"/>
              <w:jc w:val="right"/>
            </w:pPr>
            <w:r>
              <w:rPr>
                <w:rFonts w:ascii="David" w:hAnsi="David" w:cs="David" w:eastAsia="David"/>
                <w:b/>
                <w:i w:val="0"/>
                <w:sz w:val="24"/>
                <w:u w:val="none"/>
                <w:szCs w:val="24"/>
                <w:rtl/>
                <w:bCs/>
              </w:rPr>
              <w:t>בבית המשפט לענייני משפחה בקריות</w:t>
            </w:r>
          </w:p>
        </w:tc>
        <w:tc>
          <w:tcPr>
            <w:tcW w:type="dxa" w:w="4536"/>
          </w:tcPr>
          <w:p>
            <w:pPr>
              <w:bidi/>
              <w:spacing w:after="0" w:before="0" w:line="240" w:lineRule="auto"/>
              <w:jc w:val="left"/>
            </w:pPr>
            <w:r>
              <w:rPr>
                <w:rFonts w:ascii="David" w:hAnsi="David" w:cs="David" w:eastAsia="David"/>
                <w:b w:val="0"/>
                <w:i w:val="0"/>
                <w:sz w:val="24"/>
                <w:u w:val="none"/>
                <w:szCs w:val="24"/>
                <w:rtl/>
              </w:rPr>
              <w:t>תה"ס / תלה"מ ____________</w:t>
            </w:r>
          </w:p>
        </w:tc>
      </w:tr>
      <w:tr>
        <w:tc>
          <w:tcPr>
            <w:tcW w:type="dxa" w:w="4536"/>
          </w:tcPr>
          <w:p>
            <w:pPr>
              <w:bidi/>
              <w:spacing w:after="0" w:before="0" w:line="240" w:lineRule="auto"/>
              <w:jc w:val="right"/>
            </w:pPr>
            <w:r>
              <w:rPr>
                <w:rFonts w:ascii="David" w:hAnsi="David" w:cs="David" w:eastAsia="David"/>
                <w:b w:val="0"/>
                <w:i w:val="0"/>
                <w:sz w:val="24"/>
                <w:u w:val="none"/>
                <w:szCs w:val="24"/>
                <w:rtl/>
              </w:rPr>
            </w:r>
          </w:p>
        </w:tc>
        <w:tc>
          <w:tcPr>
            <w:tcW w:type="dxa" w:w="4536"/>
          </w:tcPr>
          <w:p>
            <w:pPr>
              <w:bidi/>
              <w:spacing w:after="0" w:before="0" w:line="240" w:lineRule="auto"/>
              <w:jc w:val="left"/>
            </w:pPr>
            <w:r>
              <w:rPr>
                <w:rFonts w:ascii="David" w:hAnsi="David" w:cs="David" w:eastAsia="David"/>
                <w:b w:val="0"/>
                <w:i w:val="0"/>
                <w:sz w:val="24"/>
                <w:u w:val="none"/>
                <w:szCs w:val="24"/>
                <w:rtl/>
              </w:rPr>
              <w:t>בפני כב' השופטת מאיה לוי</w:t>
            </w:r>
          </w:p>
        </w:tc>
      </w:tr>
    </w:tbl>
    <w:p>
      <w:pPr>
        <w:bidi/>
        <w:spacing w:after="40" w:before="0" w:line="360" w:lineRule="auto"/>
        <w:jc w:val="both"/>
      </w:pPr>
    </w:p>
    <w:p>
      <w:pPr>
        <w:bidi/>
        <w:spacing w:after="80" w:before="0" w:line="276" w:lineRule="auto"/>
        <w:jc w:val="right"/>
      </w:pPr>
      <w:r>
        <w:rPr>
          <w:rFonts w:ascii="David" w:hAnsi="David" w:cs="David" w:eastAsia="David"/>
          <w:b/>
          <w:i w:val="0"/>
          <w:sz w:val="24"/>
          <w:u w:val="single"/>
          <w:szCs w:val="24"/>
          <w:rtl/>
          <w:bCs/>
        </w:rPr>
        <w:t xml:space="preserve">המבקשת 2 / המתנגדת: </w:t>
      </w:r>
      <w:r>
        <w:rPr>
          <w:rFonts w:ascii="David" w:hAnsi="David" w:cs="David" w:eastAsia="David"/>
          <w:b/>
          <w:i w:val="0"/>
          <w:sz w:val="24"/>
          <w:u w:val="none"/>
          <w:szCs w:val="24"/>
          <w:rtl/>
          <w:bCs/>
        </w:rPr>
        <w:t>יאלו איינאלם דירקון</w:t>
      </w:r>
      <w:r>
        <w:rPr>
          <w:rFonts w:ascii="David" w:hAnsi="David" w:cs="David" w:eastAsia="David"/>
          <w:b w:val="0"/>
          <w:i w:val="0"/>
          <w:sz w:val="24"/>
          <w:u w:val="none"/>
          <w:szCs w:val="24"/>
          <w:rtl/>
        </w:rPr>
        <w:t>, ת.ז. ____________, ע"י ב"כ עוה"ד ____________, מרח' ____________; טל': ____________; דוא"ל: ____________</w:t>
      </w:r>
    </w:p>
    <w:p>
      <w:pPr>
        <w:bidi/>
        <w:spacing w:after="80" w:before="0" w:line="360" w:lineRule="auto"/>
        <w:jc w:val="center"/>
      </w:pPr>
      <w:r>
        <w:rPr>
          <w:rFonts w:ascii="David" w:hAnsi="David" w:cs="David" w:eastAsia="David"/>
          <w:b/>
          <w:i w:val="0"/>
          <w:sz w:val="24"/>
          <w:u w:val="none"/>
          <w:szCs w:val="24"/>
          <w:rtl/>
          <w:bCs/>
        </w:rPr>
        <w:t>- נ ג ד -</w:t>
      </w:r>
    </w:p>
    <w:p>
      <w:pPr>
        <w:bidi/>
        <w:spacing w:after="160" w:before="0" w:line="276" w:lineRule="auto"/>
        <w:jc w:val="right"/>
      </w:pPr>
      <w:r>
        <w:rPr>
          <w:rFonts w:ascii="David" w:hAnsi="David" w:cs="David" w:eastAsia="David"/>
          <w:b/>
          <w:i w:val="0"/>
          <w:sz w:val="24"/>
          <w:u w:val="single"/>
          <w:szCs w:val="24"/>
          <w:rtl/>
          <w:bCs/>
        </w:rPr>
        <w:t xml:space="preserve">המבקש 1 / המשיב: </w:t>
      </w:r>
      <w:r>
        <w:rPr>
          <w:rFonts w:ascii="David" w:hAnsi="David" w:cs="David" w:eastAsia="David"/>
          <w:b/>
          <w:i w:val="0"/>
          <w:sz w:val="24"/>
          <w:u w:val="none"/>
          <w:szCs w:val="24"/>
          <w:rtl/>
          <w:bCs/>
        </w:rPr>
        <w:t>דגו טסטפה יוסף</w:t>
      </w:r>
      <w:r>
        <w:rPr>
          <w:rFonts w:ascii="David" w:hAnsi="David" w:cs="David" w:eastAsia="David"/>
          <w:b w:val="0"/>
          <w:i w:val="0"/>
          <w:sz w:val="24"/>
          <w:u w:val="none"/>
          <w:szCs w:val="24"/>
          <w:rtl/>
        </w:rPr>
        <w:t>, ת.ז. ____________, ע"י ב"כ עוה"ד יצחק דסי, מרח' ____________; טל': ____________</w:t>
      </w:r>
    </w:p>
    <w:p>
      <w:pPr>
        <w:bidi/>
        <w:spacing w:after="0" w:before="0" w:line="360" w:lineRule="auto"/>
        <w:jc w:val="center"/>
      </w:pPr>
      <w:r>
        <w:rPr>
          <w:rFonts w:ascii="David" w:hAnsi="David" w:cs="David" w:eastAsia="David"/>
          <w:b/>
          <w:i w:val="0"/>
          <w:sz w:val="28"/>
          <w:u w:val="single"/>
          <w:szCs w:val="28"/>
          <w:rtl/>
          <w:bCs/>
        </w:rPr>
        <w:t>הודעה על חזרה מהסכמה והתנגדות לאישור "הסכם ההבהרה"</w:t>
      </w:r>
    </w:p>
    <w:p>
      <w:pPr>
        <w:bidi/>
        <w:spacing w:after="160" w:before="0" w:line="360" w:lineRule="auto"/>
        <w:jc w:val="center"/>
      </w:pPr>
      <w:r>
        <w:rPr>
          <w:rFonts w:ascii="David" w:hAnsi="David" w:cs="David" w:eastAsia="David"/>
          <w:b w:val="0"/>
          <w:i w:val="0"/>
          <w:sz w:val="22"/>
          <w:u w:val="none"/>
          <w:szCs w:val="22"/>
          <w:rtl/>
        </w:rPr>
        <w:t>(מוגשת במסגרת המועד שנקבע בהחלטה מיום 25.8.26)</w:t>
      </w:r>
    </w:p>
    <w:p>
      <w:pPr>
        <w:bidi/>
        <w:spacing w:after="80" w:before="0" w:line="276" w:lineRule="auto"/>
        <w:jc w:val="both"/>
      </w:pPr>
      <w:r>
        <w:rPr>
          <w:rFonts w:ascii="David" w:hAnsi="David" w:cs="David" w:eastAsia="David"/>
          <w:b w:val="0"/>
          <w:i w:val="0"/>
          <w:sz w:val="24"/>
          <w:u w:val="none"/>
          <w:szCs w:val="24"/>
          <w:rtl/>
        </w:rPr>
        <w:t xml:space="preserve">המבקשת 2 (להלן: </w:t>
      </w:r>
      <w:r>
        <w:rPr>
          <w:rFonts w:ascii="David" w:hAnsi="David" w:cs="David" w:eastAsia="David"/>
          <w:b/>
          <w:i w:val="0"/>
          <w:sz w:val="24"/>
          <w:u w:val="none"/>
          <w:szCs w:val="24"/>
          <w:rtl/>
          <w:bCs/>
        </w:rPr>
        <w:t>"האישה"</w:t>
      </w:r>
      <w:r>
        <w:rPr>
          <w:rFonts w:ascii="David" w:hAnsi="David" w:cs="David" w:eastAsia="David"/>
          <w:b w:val="0"/>
          <w:i w:val="0"/>
          <w:sz w:val="24"/>
          <w:u w:val="none"/>
          <w:szCs w:val="24"/>
          <w:rtl/>
        </w:rPr>
        <w:t xml:space="preserve">), באמצעות ב"כ, מודיעה כי היא </w:t>
      </w:r>
      <w:r>
        <w:rPr>
          <w:rFonts w:ascii="David" w:hAnsi="David" w:cs="David" w:eastAsia="David"/>
          <w:b/>
          <w:i w:val="0"/>
          <w:sz w:val="24"/>
          <w:u w:val="none"/>
          <w:szCs w:val="24"/>
          <w:rtl/>
          <w:bCs/>
        </w:rPr>
        <w:t>חוזרת בה מהסכמתה</w:t>
      </w:r>
      <w:r>
        <w:rPr>
          <w:rFonts w:ascii="David" w:hAnsi="David" w:cs="David" w:eastAsia="David"/>
          <w:b w:val="0"/>
          <w:i w:val="0"/>
          <w:sz w:val="24"/>
          <w:u w:val="none"/>
          <w:szCs w:val="24"/>
          <w:rtl/>
        </w:rPr>
        <w:t xml:space="preserve"> למסמך שכותרתו "הסכם הבהרה" (להלן: </w:t>
      </w:r>
      <w:r>
        <w:rPr>
          <w:rFonts w:ascii="David" w:hAnsi="David" w:cs="David" w:eastAsia="David"/>
          <w:b/>
          <w:i w:val="0"/>
          <w:sz w:val="24"/>
          <w:u w:val="none"/>
          <w:szCs w:val="24"/>
          <w:rtl/>
          <w:bCs/>
        </w:rPr>
        <w:t>"הסכם ההבהרה"</w:t>
      </w:r>
      <w:r>
        <w:rPr>
          <w:rFonts w:ascii="David" w:hAnsi="David" w:cs="David" w:eastAsia="David"/>
          <w:b w:val="0"/>
          <w:i w:val="0"/>
          <w:sz w:val="24"/>
          <w:u w:val="none"/>
          <w:szCs w:val="24"/>
          <w:rtl/>
        </w:rPr>
        <w:t xml:space="preserve">). האישה הפסיקה את ייצוגה בידי עו"ד יצחק דסי. היא </w:t>
      </w:r>
      <w:r>
        <w:rPr>
          <w:rFonts w:ascii="David" w:hAnsi="David" w:cs="David" w:eastAsia="David"/>
          <w:b/>
          <w:i w:val="0"/>
          <w:sz w:val="24"/>
          <w:u w:val="none"/>
          <w:szCs w:val="24"/>
          <w:rtl/>
          <w:bCs/>
        </w:rPr>
        <w:t>מתנגדת לאישור ההסכם</w:t>
      </w:r>
      <w:r>
        <w:rPr>
          <w:rFonts w:ascii="David" w:hAnsi="David" w:cs="David" w:eastAsia="David"/>
          <w:b w:val="0"/>
          <w:i w:val="0"/>
          <w:sz w:val="24"/>
          <w:u w:val="none"/>
          <w:szCs w:val="24"/>
          <w:rtl/>
        </w:rPr>
        <w:t>. בית המשפט הנכבד מתבקש בזאת:</w:t>
      </w:r>
    </w:p>
    <w:p>
      <w:pPr>
        <w:bidi/>
        <w:spacing w:after="60" w:before="0" w:line="276" w:lineRule="auto"/>
        <w:ind w:left="567" w:hanging="567"/>
        <w:jc w:val="both"/>
      </w:pPr>
      <w:r>
        <w:rPr>
          <w:rFonts w:ascii="David" w:hAnsi="David" w:cs="David" w:eastAsia="David"/>
          <w:b w:val="0"/>
          <w:i w:val="0"/>
          <w:sz w:val="24"/>
          <w:u w:val="none"/>
          <w:szCs w:val="24"/>
          <w:rtl/>
        </w:rPr>
        <w:t>א.</w:t>
        <w:tab/>
      </w:r>
      <w:r>
        <w:rPr>
          <w:rFonts w:ascii="David" w:hAnsi="David" w:cs="David" w:eastAsia="David"/>
          <w:b w:val="0"/>
          <w:i w:val="0"/>
          <w:sz w:val="24"/>
          <w:u w:val="none"/>
          <w:szCs w:val="24"/>
          <w:rtl/>
        </w:rPr>
        <w:t>לדחות את הבקשה לאישור מיום 19.8.26. אין עוד "הסכם" שניתן לאשרו לפי סעיף 2 לחוק יחסי ממון בין בני זוג, התשל"ג-1973 (להלן: "החוק").</w:t>
      </w:r>
    </w:p>
    <w:p>
      <w:pPr>
        <w:bidi/>
        <w:spacing w:after="60" w:before="0" w:line="276" w:lineRule="auto"/>
        <w:ind w:left="567" w:hanging="567"/>
        <w:jc w:val="both"/>
      </w:pPr>
      <w:r>
        <w:rPr>
          <w:rFonts w:ascii="David" w:hAnsi="David" w:cs="David" w:eastAsia="David"/>
          <w:b w:val="0"/>
          <w:i w:val="0"/>
          <w:sz w:val="24"/>
          <w:u w:val="none"/>
          <w:szCs w:val="24"/>
          <w:rtl/>
        </w:rPr>
        <w:t>ב.</w:t>
        <w:tab/>
      </w:r>
      <w:r>
        <w:rPr>
          <w:rFonts w:ascii="David" w:hAnsi="David" w:cs="David" w:eastAsia="David"/>
          <w:b w:val="0"/>
          <w:i w:val="0"/>
          <w:sz w:val="24"/>
          <w:u w:val="none"/>
          <w:szCs w:val="24"/>
          <w:rtl/>
        </w:rPr>
        <w:t>לחלופין - להימנע מאישור ההסכם. לא ניתן להיווכח כי נעשה "בהסכמה חופשית ובהבנת משמעותו ותוצאותיו", כדרישת סעיף 2(ב) לחוק.</w:t>
      </w:r>
    </w:p>
    <w:p>
      <w:pPr>
        <w:bidi/>
        <w:spacing w:after="60" w:before="0" w:line="276" w:lineRule="auto"/>
        <w:ind w:left="567" w:hanging="567"/>
        <w:jc w:val="both"/>
      </w:pPr>
      <w:r>
        <w:rPr>
          <w:rFonts w:ascii="David" w:hAnsi="David" w:cs="David" w:eastAsia="David"/>
          <w:b w:val="0"/>
          <w:i w:val="0"/>
          <w:sz w:val="24"/>
          <w:u w:val="none"/>
          <w:szCs w:val="24"/>
          <w:rtl/>
        </w:rPr>
        <w:t>ג.</w:t>
        <w:tab/>
      </w:r>
      <w:r>
        <w:rPr>
          <w:rFonts w:ascii="David" w:hAnsi="David" w:cs="David" w:eastAsia="David"/>
          <w:b w:val="0"/>
          <w:i w:val="0"/>
          <w:sz w:val="24"/>
          <w:u w:val="none"/>
          <w:szCs w:val="24"/>
          <w:rtl/>
        </w:rPr>
        <w:t>לחלופי חלופין - לקבוע דיון הוכחות, למנות מתורגמן לשפה ה[אמהרית/טיגרינית], ולהורות למשיב לגלות את דפי החשבון שעליהם נסמכים הסכומים.</w:t>
      </w:r>
    </w:p>
    <w:p>
      <w:pPr>
        <w:bidi/>
        <w:spacing w:after="60" w:before="0" w:line="276" w:lineRule="auto"/>
        <w:ind w:left="567" w:hanging="567"/>
        <w:jc w:val="both"/>
      </w:pPr>
      <w:r>
        <w:rPr>
          <w:rFonts w:ascii="David" w:hAnsi="David" w:cs="David" w:eastAsia="David"/>
          <w:b w:val="0"/>
          <w:i w:val="0"/>
          <w:sz w:val="24"/>
          <w:u w:val="none"/>
          <w:szCs w:val="24"/>
          <w:rtl/>
        </w:rPr>
        <w:t>ד.</w:t>
        <w:tab/>
      </w:r>
      <w:r>
        <w:rPr>
          <w:rFonts w:ascii="David" w:hAnsi="David" w:cs="David" w:eastAsia="David"/>
          <w:b w:val="0"/>
          <w:i w:val="0"/>
          <w:sz w:val="24"/>
          <w:u w:val="none"/>
          <w:szCs w:val="24"/>
          <w:rtl/>
        </w:rPr>
        <w:t>לחייב את המשיב בהוצאות.</w:t>
      </w:r>
    </w:p>
    <w:p>
      <w:pPr>
        <w:bidi/>
        <w:spacing w:after="120" w:before="0" w:line="360" w:lineRule="auto"/>
        <w:jc w:val="right"/>
      </w:pPr>
      <w:r>
        <w:rPr>
          <w:rFonts w:ascii="David" w:hAnsi="David" w:cs="David" w:eastAsia="David"/>
          <w:b/>
          <w:i w:val="0"/>
          <w:sz w:val="24"/>
          <w:u w:val="single"/>
          <w:szCs w:val="24"/>
          <w:rtl/>
          <w:bCs/>
        </w:rPr>
        <w:t>ואלו נימוקי הבקשה:</w:t>
      </w:r>
    </w:p>
    <w:p>
      <w:pPr>
        <w:bidi/>
        <w:spacing w:after="80" w:before="0" w:line="276" w:lineRule="auto"/>
        <w:ind w:left="567" w:hanging="567"/>
        <w:jc w:val="both"/>
      </w:pPr>
      <w:r>
        <w:rPr>
          <w:rFonts w:ascii="David" w:hAnsi="David" w:cs="David" w:eastAsia="David"/>
          <w:b w:val="0"/>
          <w:i w:val="0"/>
          <w:sz w:val="24"/>
          <w:u w:val="none"/>
          <w:szCs w:val="24"/>
          <w:rtl/>
        </w:rPr>
        <w:t>1.</w:t>
        <w:tab/>
      </w:r>
      <w:r>
        <w:rPr>
          <w:rFonts w:ascii="David" w:hAnsi="David" w:cs="David" w:eastAsia="David"/>
          <w:b w:val="0"/>
          <w:i w:val="0"/>
          <w:sz w:val="24"/>
          <w:u w:val="none"/>
          <w:szCs w:val="24"/>
          <w:rtl/>
        </w:rPr>
        <w:t xml:space="preserve">ודוק; זו אינה בקשה לביטול הסכם. </w:t>
      </w:r>
      <w:r>
        <w:rPr>
          <w:rFonts w:ascii="David" w:hAnsi="David" w:cs="David" w:eastAsia="David"/>
          <w:b/>
          <w:i w:val="0"/>
          <w:sz w:val="24"/>
          <w:u w:val="none"/>
          <w:szCs w:val="24"/>
          <w:rtl/>
          <w:bCs/>
        </w:rPr>
        <w:t>אין הסכם.</w:t>
      </w:r>
      <w:r>
        <w:rPr>
          <w:rFonts w:ascii="David" w:hAnsi="David" w:cs="David" w:eastAsia="David"/>
          <w:b w:val="0"/>
          <w:i w:val="0"/>
          <w:sz w:val="24"/>
          <w:u w:val="none"/>
          <w:szCs w:val="24"/>
          <w:rtl/>
        </w:rPr>
        <w:t xml:space="preserve"> סעיף 2(א) לחוק קובע כי שינוי של הסכם ממון "טעון אישור". סעיף 2(ב) מתנה את האישור בכך שבית המשפט "נוכח" בהסכמה חופשית ובהבנה.</w:t>
      </w:r>
    </w:p>
    <w:p>
      <w:pPr>
        <w:bidi/>
        <w:spacing w:after="80" w:before="0" w:line="276" w:lineRule="auto"/>
        <w:ind w:left="567" w:hanging="567"/>
        <w:jc w:val="both"/>
      </w:pPr>
      <w:r>
        <w:rPr>
          <w:rFonts w:ascii="David" w:hAnsi="David" w:cs="David" w:eastAsia="David"/>
          <w:b w:val="0"/>
          <w:i w:val="0"/>
          <w:sz w:val="24"/>
          <w:u w:val="none"/>
          <w:szCs w:val="24"/>
          <w:rtl/>
        </w:rPr>
        <w:t>2.</w:t>
        <w:tab/>
      </w:r>
      <w:r>
        <w:rPr>
          <w:rFonts w:ascii="David" w:hAnsi="David" w:cs="David" w:eastAsia="David"/>
          <w:b w:val="0"/>
          <w:i w:val="0"/>
          <w:sz w:val="24"/>
          <w:u w:val="none"/>
          <w:szCs w:val="24"/>
          <w:rtl/>
        </w:rPr>
        <w:t>הלכה היא כי הסכם ממון שלא אושר - אין לו תוקף [ע"א 4/80 מונק נ' מונק, פ"ד לו(3) 421; ע"א 169/83 שי נ' שי, פ"ד לט(3) 776]. עד לאישור, המסמך אינו אלא הצעה. צד רשאי לחזור בו ממנה.</w:t>
      </w:r>
    </w:p>
    <w:p>
      <w:pPr>
        <w:bidi/>
        <w:spacing w:after="80" w:before="0" w:line="276" w:lineRule="auto"/>
        <w:ind w:left="567" w:hanging="567"/>
        <w:jc w:val="both"/>
      </w:pPr>
      <w:r>
        <w:rPr>
          <w:rFonts w:ascii="David" w:hAnsi="David" w:cs="David" w:eastAsia="David"/>
          <w:b w:val="0"/>
          <w:i w:val="0"/>
          <w:sz w:val="24"/>
          <w:u w:val="none"/>
          <w:szCs w:val="24"/>
          <w:rtl/>
        </w:rPr>
        <w:t>3.</w:t>
        <w:tab/>
      </w:r>
      <w:r>
        <w:rPr>
          <w:rFonts w:ascii="David" w:hAnsi="David" w:cs="David" w:eastAsia="David"/>
          <w:b w:val="0"/>
          <w:i w:val="0"/>
          <w:sz w:val="24"/>
          <w:u w:val="none"/>
          <w:szCs w:val="24"/>
          <w:rtl/>
        </w:rPr>
        <w:t>האישה חוזרת בה מהסכמתה בהודעה זו, בתוך המועד שקצב בית המשפט הנכבד. משנשמטה ההסכמה, לא נותר דבר לאשר. בית המשפט אינו רשאי לאשר בשם האישה הסכמה שהיא מודיעה כי אינה נותנת.</w:t>
      </w:r>
    </w:p>
    <w:p>
      <w:pPr>
        <w:bidi/>
        <w:spacing w:after="80" w:before="0" w:line="276" w:lineRule="auto"/>
        <w:ind w:left="567" w:hanging="567"/>
        <w:jc w:val="both"/>
      </w:pPr>
      <w:r>
        <w:rPr>
          <w:rFonts w:ascii="David" w:hAnsi="David" w:cs="David" w:eastAsia="David"/>
          <w:b w:val="0"/>
          <w:i w:val="0"/>
          <w:sz w:val="24"/>
          <w:u w:val="none"/>
          <w:szCs w:val="24"/>
          <w:rtl/>
        </w:rPr>
        <w:t>4.</w:t>
        <w:tab/>
      </w:r>
      <w:r>
        <w:rPr>
          <w:rFonts w:ascii="David" w:hAnsi="David" w:cs="David" w:eastAsia="David"/>
          <w:b w:val="0"/>
          <w:i w:val="0"/>
          <w:sz w:val="24"/>
          <w:u w:val="none"/>
          <w:szCs w:val="24"/>
          <w:rtl/>
        </w:rPr>
        <w:t>ביום 8.7.20 אישר בית המשפט הנכבד הסכם ממון בין הצדדים, הקובע הפרדה רכושית, ונתן לו תוקף של פסק דין (</w:t>
      </w:r>
      <w:r>
        <w:rPr>
          <w:rFonts w:ascii="David" w:hAnsi="David" w:cs="David" w:eastAsia="David"/>
          <w:b/>
          <w:i w:val="0"/>
          <w:sz w:val="24"/>
          <w:u w:val="none"/>
          <w:szCs w:val="24"/>
          <w:rtl/>
          <w:bCs/>
        </w:rPr>
        <w:t>נספח א'</w:t>
      </w:r>
      <w:r>
        <w:rPr>
          <w:rFonts w:ascii="David" w:hAnsi="David" w:cs="David" w:eastAsia="David"/>
          <w:b w:val="0"/>
          <w:i w:val="0"/>
          <w:sz w:val="24"/>
          <w:u w:val="none"/>
          <w:szCs w:val="24"/>
          <w:rtl/>
        </w:rPr>
        <w:t>). הצדדים חיים בפירוד מאז ____________.</w:t>
      </w:r>
    </w:p>
    <w:p>
      <w:pPr>
        <w:bidi/>
        <w:spacing w:after="80" w:before="0" w:line="276" w:lineRule="auto"/>
        <w:ind w:left="567" w:hanging="567"/>
        <w:jc w:val="both"/>
      </w:pPr>
      <w:r>
        <w:rPr>
          <w:rFonts w:ascii="David" w:hAnsi="David" w:cs="David" w:eastAsia="David"/>
          <w:b w:val="0"/>
          <w:i w:val="0"/>
          <w:sz w:val="24"/>
          <w:u w:val="none"/>
          <w:szCs w:val="24"/>
          <w:rtl/>
        </w:rPr>
        <w:t>5.</w:t>
        <w:tab/>
      </w:r>
      <w:r>
        <w:rPr>
          <w:rFonts w:ascii="David" w:hAnsi="David" w:cs="David" w:eastAsia="David"/>
          <w:b w:val="0"/>
          <w:i w:val="0"/>
          <w:sz w:val="24"/>
          <w:u w:val="none"/>
          <w:szCs w:val="24"/>
          <w:rtl/>
        </w:rPr>
        <w:t>בחודשים פברואר-מאי 2026 נחתם "הסכם ההבהרה" (</w:t>
      </w:r>
      <w:r>
        <w:rPr>
          <w:rFonts w:ascii="David" w:hAnsi="David" w:cs="David" w:eastAsia="David"/>
          <w:b/>
          <w:i w:val="0"/>
          <w:sz w:val="24"/>
          <w:u w:val="none"/>
          <w:szCs w:val="24"/>
          <w:rtl/>
          <w:bCs/>
        </w:rPr>
        <w:t>נספח ב'</w:t>
      </w:r>
      <w:r>
        <w:rPr>
          <w:rFonts w:ascii="David" w:hAnsi="David" w:cs="David" w:eastAsia="David"/>
          <w:b w:val="0"/>
          <w:i w:val="0"/>
          <w:sz w:val="24"/>
          <w:u w:val="none"/>
          <w:szCs w:val="24"/>
          <w:rtl/>
        </w:rPr>
        <w:t>). המסמך נערך בעברית בידי עו"ד דסי. הוא הצהיר בפני בית המשפט הנכבד כי "ערך עבורנו את ההסכם, בתור עורך דין משותף".</w:t>
      </w:r>
    </w:p>
    <w:p>
      <w:pPr>
        <w:bidi/>
        <w:spacing w:after="80" w:before="0" w:line="276" w:lineRule="auto"/>
        <w:ind w:left="567" w:hanging="567"/>
        <w:jc w:val="both"/>
      </w:pPr>
      <w:r>
        <w:rPr>
          <w:rFonts w:ascii="David" w:hAnsi="David" w:cs="David" w:eastAsia="David"/>
          <w:b w:val="0"/>
          <w:i w:val="0"/>
          <w:sz w:val="24"/>
          <w:u w:val="none"/>
          <w:szCs w:val="24"/>
          <w:rtl/>
        </w:rPr>
        <w:t>6.</w:t>
        <w:tab/>
      </w:r>
      <w:r>
        <w:rPr>
          <w:rFonts w:ascii="David" w:hAnsi="David" w:cs="David" w:eastAsia="David"/>
          <w:b w:val="0"/>
          <w:i w:val="0"/>
          <w:sz w:val="24"/>
          <w:u w:val="none"/>
          <w:szCs w:val="24"/>
          <w:rtl/>
        </w:rPr>
        <w:t>המסמך קובע כי כספים בסך של כ-</w:t>
      </w:r>
      <w:r>
        <w:rPr>
          <w:rFonts w:ascii="David" w:hAnsi="David" w:cs="David" w:eastAsia="David"/>
          <w:b/>
          <w:i w:val="0"/>
          <w:sz w:val="24"/>
          <w:u w:val="none"/>
          <w:szCs w:val="24"/>
          <w:rtl/>
          <w:bCs/>
        </w:rPr>
        <w:t>1,337,787 ש"ח</w:t>
      </w:r>
      <w:r>
        <w:rPr>
          <w:rFonts w:ascii="David" w:hAnsi="David" w:cs="David" w:eastAsia="David"/>
          <w:b w:val="0"/>
          <w:i w:val="0"/>
          <w:sz w:val="24"/>
          <w:u w:val="none"/>
          <w:szCs w:val="24"/>
          <w:rtl/>
        </w:rPr>
        <w:t xml:space="preserve"> שייכים למשיב לבדו. לאישה נותרים כ-</w:t>
      </w:r>
      <w:r>
        <w:rPr>
          <w:rFonts w:ascii="David" w:hAnsi="David" w:cs="David" w:eastAsia="David"/>
          <w:b/>
          <w:i w:val="0"/>
          <w:sz w:val="24"/>
          <w:u w:val="none"/>
          <w:szCs w:val="24"/>
          <w:rtl/>
          <w:bCs/>
        </w:rPr>
        <w:t>140,000 ש"ח</w:t>
      </w:r>
      <w:r>
        <w:rPr>
          <w:rFonts w:ascii="David" w:hAnsi="David" w:cs="David" w:eastAsia="David"/>
          <w:b w:val="0"/>
          <w:i w:val="0"/>
          <w:sz w:val="24"/>
          <w:u w:val="none"/>
          <w:szCs w:val="24"/>
          <w:rtl/>
        </w:rPr>
        <w:t xml:space="preserve"> בלבד. מסמך כזה אינו "מבהיר" את הסכם 2020. הוא משנה אותו, וטעון אישור לפי סעיף 2(א) לחוק.</w:t>
      </w:r>
    </w:p>
    <w:p>
      <w:pPr>
        <w:bidi/>
        <w:spacing w:after="80" w:before="0" w:line="276" w:lineRule="auto"/>
        <w:ind w:left="567" w:hanging="567"/>
        <w:jc w:val="both"/>
      </w:pPr>
      <w:r>
        <w:rPr>
          <w:rFonts w:ascii="David" w:hAnsi="David" w:cs="David" w:eastAsia="David"/>
          <w:b w:val="0"/>
          <w:i w:val="0"/>
          <w:sz w:val="24"/>
          <w:u w:val="none"/>
          <w:szCs w:val="24"/>
          <w:rtl/>
        </w:rPr>
        <w:t>7.</w:t>
        <w:tab/>
      </w:r>
      <w:r>
        <w:rPr>
          <w:rFonts w:ascii="David" w:hAnsi="David" w:cs="David" w:eastAsia="David"/>
          <w:b w:val="0"/>
          <w:i w:val="0"/>
          <w:sz w:val="24"/>
          <w:u w:val="none"/>
          <w:szCs w:val="24"/>
          <w:rtl/>
        </w:rPr>
        <w:t>נסיבות החתימה מפורטות בתצהיר האישה (</w:t>
      </w:r>
      <w:r>
        <w:rPr>
          <w:rFonts w:ascii="David" w:hAnsi="David" w:cs="David" w:eastAsia="David"/>
          <w:b/>
          <w:i w:val="0"/>
          <w:sz w:val="24"/>
          <w:u w:val="none"/>
          <w:szCs w:val="24"/>
          <w:rtl/>
          <w:bCs/>
        </w:rPr>
        <w:t>נספח ה'</w:t>
      </w:r>
      <w:r>
        <w:rPr>
          <w:rFonts w:ascii="David" w:hAnsi="David" w:cs="David" w:eastAsia="David"/>
          <w:b w:val="0"/>
          <w:i w:val="0"/>
          <w:sz w:val="24"/>
          <w:u w:val="none"/>
          <w:szCs w:val="24"/>
          <w:rtl/>
        </w:rPr>
        <w:t xml:space="preserve">). המסמך הוצג לה במפגש עם זקני העדה ("שמגלוץ'"). הם "הסבירו" אותו בקווים כלליים. </w:t>
      </w:r>
      <w:r>
        <w:rPr>
          <w:rFonts w:ascii="David" w:hAnsi="David" w:cs="David" w:eastAsia="David"/>
          <w:b/>
          <w:i w:val="0"/>
          <w:sz w:val="24"/>
          <w:u w:val="none"/>
          <w:szCs w:val="24"/>
          <w:rtl/>
          <w:bCs/>
        </w:rPr>
        <w:t>המסמך לא תורגם לה במלואו לשפתה.</w:t>
      </w:r>
    </w:p>
    <w:p>
      <w:pPr>
        <w:bidi/>
        <w:spacing w:after="80" w:before="0" w:line="276" w:lineRule="auto"/>
        <w:ind w:left="567" w:hanging="567"/>
        <w:jc w:val="both"/>
      </w:pPr>
      <w:r>
        <w:rPr>
          <w:rFonts w:ascii="David" w:hAnsi="David" w:cs="David" w:eastAsia="David"/>
          <w:b w:val="0"/>
          <w:i w:val="0"/>
          <w:sz w:val="24"/>
          <w:u w:val="none"/>
          <w:szCs w:val="24"/>
          <w:rtl/>
        </w:rPr>
        <w:t>8.</w:t>
        <w:tab/>
      </w:r>
      <w:r>
        <w:rPr>
          <w:rFonts w:ascii="David" w:hAnsi="David" w:cs="David" w:eastAsia="David"/>
          <w:b w:val="0"/>
          <w:i w:val="0"/>
          <w:sz w:val="24"/>
          <w:u w:val="none"/>
          <w:szCs w:val="24"/>
          <w:rtl/>
        </w:rPr>
        <w:t xml:space="preserve">איש לא אמר לאישה כי היא רשאית להיוועץ בעורך דין מטעמה. לא הוצג לה כל מסמך בנקאי. </w:t>
      </w:r>
      <w:r>
        <w:rPr>
          <w:rFonts w:ascii="David" w:hAnsi="David" w:cs="David" w:eastAsia="David"/>
          <w:b/>
          <w:i w:val="0"/>
          <w:sz w:val="24"/>
          <w:u w:val="none"/>
          <w:szCs w:val="24"/>
          <w:rtl/>
          <w:bCs/>
        </w:rPr>
        <w:t>היא לא הבינה כי היא מוותרת על כל טענה ביחס לסכום העולה על 1.3 מיליון ש"ח.</w:t>
      </w:r>
    </w:p>
    <w:p>
      <w:pPr>
        <w:bidi/>
        <w:spacing w:after="80" w:before="0" w:line="276" w:lineRule="auto"/>
        <w:ind w:left="567" w:hanging="567"/>
        <w:jc w:val="both"/>
      </w:pPr>
      <w:r>
        <w:rPr>
          <w:rFonts w:ascii="David" w:hAnsi="David" w:cs="David" w:eastAsia="David"/>
          <w:b w:val="0"/>
          <w:i w:val="0"/>
          <w:sz w:val="24"/>
          <w:u w:val="none"/>
          <w:szCs w:val="24"/>
          <w:rtl/>
        </w:rPr>
        <w:t>9.</w:t>
        <w:tab/>
      </w:r>
      <w:r>
        <w:rPr>
          <w:rFonts w:ascii="David" w:hAnsi="David" w:cs="David" w:eastAsia="David"/>
          <w:b w:val="0"/>
          <w:i w:val="0"/>
          <w:sz w:val="24"/>
          <w:u w:val="none"/>
          <w:szCs w:val="24"/>
          <w:rtl/>
        </w:rPr>
        <w:t>האישה חתמה מתוך אמון בזקני העדה ובעורך הדין. הוא הוצג לה כמי שמייצג גם אותה. הא ותו לא.</w:t>
      </w:r>
    </w:p>
    <w:p>
      <w:pPr>
        <w:bidi/>
        <w:spacing w:after="80" w:before="0" w:line="276" w:lineRule="auto"/>
        <w:ind w:left="567" w:hanging="567"/>
        <w:jc w:val="both"/>
      </w:pPr>
      <w:r>
        <w:rPr>
          <w:rFonts w:ascii="David" w:hAnsi="David" w:cs="David" w:eastAsia="David"/>
          <w:b w:val="0"/>
          <w:i w:val="0"/>
          <w:sz w:val="24"/>
          <w:u w:val="none"/>
          <w:szCs w:val="24"/>
          <w:rtl/>
        </w:rPr>
        <w:t>10.</w:t>
        <w:tab/>
      </w:r>
      <w:r>
        <w:rPr>
          <w:rFonts w:ascii="David" w:hAnsi="David" w:cs="David" w:eastAsia="David"/>
          <w:b w:val="0"/>
          <w:i w:val="0"/>
          <w:sz w:val="24"/>
          <w:u w:val="none"/>
          <w:szCs w:val="24"/>
          <w:rtl/>
        </w:rPr>
        <w:t>בדיון ביום 25.8.26 הצהירה האישה "אני לא יודעת עברית", ונדרש מתורגמן. בית המשפט הנכבד לא אישר את ההסכם והותיר את התיק פתוח עד ליום 15.10.26 (</w:t>
      </w:r>
      <w:r>
        <w:rPr>
          <w:rFonts w:ascii="David" w:hAnsi="David" w:cs="David" w:eastAsia="David"/>
          <w:b/>
          <w:i w:val="0"/>
          <w:sz w:val="24"/>
          <w:u w:val="none"/>
          <w:szCs w:val="24"/>
          <w:rtl/>
          <w:bCs/>
        </w:rPr>
        <w:t>נספח ג'</w:t>
      </w:r>
      <w:r>
        <w:rPr>
          <w:rFonts w:ascii="David" w:hAnsi="David" w:cs="David" w:eastAsia="David"/>
          <w:b w:val="0"/>
          <w:i w:val="0"/>
          <w:sz w:val="24"/>
          <w:u w:val="none"/>
          <w:szCs w:val="24"/>
          <w:rtl/>
        </w:rPr>
        <w:t>).</w:t>
      </w:r>
    </w:p>
    <w:p>
      <w:pPr>
        <w:bidi/>
        <w:spacing w:after="80" w:before="0" w:line="276" w:lineRule="auto"/>
        <w:ind w:left="567" w:hanging="567"/>
        <w:jc w:val="both"/>
      </w:pPr>
      <w:r>
        <w:rPr>
          <w:rFonts w:ascii="David" w:hAnsi="David" w:cs="David" w:eastAsia="David"/>
          <w:b w:val="0"/>
          <w:i w:val="0"/>
          <w:sz w:val="24"/>
          <w:u w:val="none"/>
          <w:szCs w:val="24"/>
          <w:rtl/>
        </w:rPr>
        <w:t>11.</w:t>
        <w:tab/>
      </w:r>
      <w:r>
        <w:rPr>
          <w:rFonts w:ascii="David" w:hAnsi="David" w:cs="David" w:eastAsia="David"/>
          <w:b w:val="0"/>
          <w:i w:val="0"/>
          <w:sz w:val="24"/>
          <w:u w:val="none"/>
          <w:szCs w:val="24"/>
          <w:rtl/>
        </w:rPr>
        <w:t>בית המשפט הנכבד אף התריע באותה החלטה כי "הסכם זה עלול לפגוע בזכויות מי מהצדדים, במקרה הרע". הודעה זו מוגשת בתוך החלון שקבע בית המשפט הנכבד.</w:t>
      </w:r>
    </w:p>
    <w:p>
      <w:pPr>
        <w:bidi/>
        <w:spacing w:after="80" w:before="0" w:line="276" w:lineRule="auto"/>
        <w:ind w:left="567" w:hanging="567"/>
        <w:jc w:val="both"/>
      </w:pPr>
      <w:r>
        <w:rPr>
          <w:rFonts w:ascii="David" w:hAnsi="David" w:cs="David" w:eastAsia="David"/>
          <w:b w:val="0"/>
          <w:i w:val="0"/>
          <w:sz w:val="24"/>
          <w:u w:val="none"/>
          <w:szCs w:val="24"/>
          <w:rtl/>
        </w:rPr>
        <w:t>12.</w:t>
        <w:tab/>
      </w:r>
      <w:r>
        <w:rPr>
          <w:rFonts w:ascii="David" w:hAnsi="David" w:cs="David" w:eastAsia="David"/>
          <w:b w:val="0"/>
          <w:i w:val="0"/>
          <w:sz w:val="24"/>
          <w:u w:val="none"/>
          <w:szCs w:val="24"/>
          <w:rtl/>
        </w:rPr>
        <w:t>לאחר הדיון קיבלה האישה לראשונה ייעוץ משפטי עצמאי. רק משתורגם לה המסמך במלואו הבינה את משמעותו. היא הודיעה על הפסקת ייצוגה בידי עו"ד דסי וייפתה את כוח הח"מ (</w:t>
      </w:r>
      <w:r>
        <w:rPr>
          <w:rFonts w:ascii="David" w:hAnsi="David" w:cs="David" w:eastAsia="David"/>
          <w:b/>
          <w:i w:val="0"/>
          <w:sz w:val="24"/>
          <w:u w:val="none"/>
          <w:szCs w:val="24"/>
          <w:rtl/>
          <w:bCs/>
        </w:rPr>
        <w:t>נספח ד'</w:t>
      </w:r>
      <w:r>
        <w:rPr>
          <w:rFonts w:ascii="David" w:hAnsi="David" w:cs="David" w:eastAsia="David"/>
          <w:b w:val="0"/>
          <w:i w:val="0"/>
          <w:sz w:val="24"/>
          <w:u w:val="none"/>
          <w:szCs w:val="24"/>
          <w:rtl/>
        </w:rPr>
        <w:t>).</w:t>
      </w:r>
    </w:p>
    <w:p>
      <w:pPr>
        <w:bidi/>
        <w:spacing w:after="80" w:before="0" w:line="276" w:lineRule="auto"/>
        <w:ind w:left="567" w:hanging="567"/>
        <w:jc w:val="both"/>
      </w:pPr>
      <w:r>
        <w:rPr>
          <w:rFonts w:ascii="David" w:hAnsi="David" w:cs="David" w:eastAsia="David"/>
          <w:b w:val="0"/>
          <w:i w:val="0"/>
          <w:sz w:val="24"/>
          <w:u w:val="none"/>
          <w:szCs w:val="24"/>
          <w:rtl/>
        </w:rPr>
        <w:t>13.</w:t>
        <w:tab/>
      </w:r>
      <w:r>
        <w:rPr>
          <w:rFonts w:ascii="David" w:hAnsi="David" w:cs="David" w:eastAsia="David"/>
          <w:b/>
          <w:i w:val="0"/>
          <w:sz w:val="24"/>
          <w:u w:val="none"/>
          <w:szCs w:val="24"/>
          <w:rtl/>
          <w:bCs/>
        </w:rPr>
        <w:t xml:space="preserve">לחלופין - תנאי סעיף 2(ב) אינם מתקיימים. </w:t>
      </w:r>
      <w:r>
        <w:rPr>
          <w:rFonts w:ascii="David" w:hAnsi="David" w:cs="David" w:eastAsia="David"/>
          <w:b w:val="0"/>
          <w:i w:val="0"/>
          <w:sz w:val="24"/>
          <w:u w:val="none"/>
          <w:szCs w:val="24"/>
          <w:rtl/>
        </w:rPr>
        <w:t>האישה אינה קוראת עברית. המסמך לא תורגם לה במלואו. "הסבר" מפי זקני עדה אינו תחליף לתרגום ולייעוץ. היא לא ידעה כי היא זכאית לעורך דין מטעמה.</w:t>
      </w:r>
    </w:p>
    <w:p>
      <w:pPr>
        <w:bidi/>
        <w:spacing w:after="80" w:before="0" w:line="276" w:lineRule="auto"/>
        <w:ind w:left="567" w:hanging="567"/>
        <w:jc w:val="both"/>
      </w:pPr>
      <w:r>
        <w:rPr>
          <w:rFonts w:ascii="David" w:hAnsi="David" w:cs="David" w:eastAsia="David"/>
          <w:b w:val="0"/>
          <w:i w:val="0"/>
          <w:sz w:val="24"/>
          <w:u w:val="none"/>
          <w:szCs w:val="24"/>
          <w:rtl/>
        </w:rPr>
        <w:t>14.</w:t>
        <w:tab/>
      </w:r>
      <w:r>
        <w:rPr>
          <w:rFonts w:ascii="David" w:hAnsi="David" w:cs="David" w:eastAsia="David"/>
          <w:b w:val="0"/>
          <w:i w:val="0"/>
          <w:sz w:val="24"/>
          <w:u w:val="none"/>
          <w:szCs w:val="24"/>
          <w:rtl/>
        </w:rPr>
        <w:t>עורך הדין היחיד שנכח שימש בה בעת את המשיב. הוא לא יכול היה להעניק לאישה ייעוץ עצמאי. ר' כלל 14 לכללי לשכת עורכי הדין (אתיקה מקצועית), התשמ"ו-1986. לא הוצגה הסכמה בכתב לייצוג משותף.</w:t>
      </w:r>
    </w:p>
    <w:p>
      <w:pPr>
        <w:bidi/>
        <w:spacing w:after="80" w:before="0" w:line="276" w:lineRule="auto"/>
        <w:ind w:left="567" w:hanging="567"/>
        <w:jc w:val="both"/>
      </w:pPr>
      <w:r>
        <w:rPr>
          <w:rFonts w:ascii="David" w:hAnsi="David" w:cs="David" w:eastAsia="David"/>
          <w:b w:val="0"/>
          <w:i w:val="0"/>
          <w:sz w:val="24"/>
          <w:u w:val="none"/>
          <w:szCs w:val="24"/>
          <w:rtl/>
        </w:rPr>
        <w:t>15.</w:t>
        <w:tab/>
      </w:r>
      <w:r>
        <w:rPr>
          <w:rFonts w:ascii="David" w:hAnsi="David" w:cs="David" w:eastAsia="David"/>
          <w:b w:val="0"/>
          <w:i w:val="0"/>
          <w:sz w:val="24"/>
          <w:u w:val="none"/>
          <w:szCs w:val="24"/>
          <w:rtl/>
        </w:rPr>
        <w:t>כל אחד מן הפגמים די בו לבדו. במצטבר - אין כל אפשרות להיווכח בהבנה. חתימה אינה הסכמה. זו בדיוק הסיבה שהמחוקק שלל תוקף מהסכם ממון חתום, כל עוד לא נוכח בית המשפט בהבנה.</w:t>
      </w:r>
    </w:p>
    <w:p>
      <w:pPr>
        <w:bidi/>
        <w:spacing w:after="80" w:before="0" w:line="276" w:lineRule="auto"/>
        <w:ind w:left="567" w:hanging="567"/>
        <w:jc w:val="both"/>
      </w:pPr>
      <w:r>
        <w:rPr>
          <w:rFonts w:ascii="David" w:hAnsi="David" w:cs="David" w:eastAsia="David"/>
          <w:b w:val="0"/>
          <w:i w:val="0"/>
          <w:sz w:val="24"/>
          <w:u w:val="none"/>
          <w:szCs w:val="24"/>
          <w:rtl/>
        </w:rPr>
        <w:t>16.</w:t>
        <w:tab/>
      </w:r>
      <w:r>
        <w:rPr>
          <w:rFonts w:ascii="David" w:hAnsi="David" w:cs="David" w:eastAsia="David"/>
          <w:b w:val="0"/>
          <w:i w:val="0"/>
          <w:sz w:val="24"/>
          <w:u w:val="none"/>
          <w:szCs w:val="24"/>
          <w:rtl/>
        </w:rPr>
        <w:t>חתימתה של אישה שאינה קוראת את שפת המסמך, בלא תרגום מלא ובלא ייעוץ עצמאי, היא המקרה המובהק שבשבילו נחקק סעיף 2(ב). האישה שומרת על טענותיה לפי סעיפים 14, 15 ו-18 לחוק החוזים (חלק כללי), התשל"ג-1973.</w:t>
      </w:r>
    </w:p>
    <w:p>
      <w:pPr>
        <w:bidi/>
        <w:spacing w:after="80" w:before="0" w:line="276" w:lineRule="auto"/>
        <w:ind w:left="567" w:hanging="567"/>
        <w:jc w:val="both"/>
      </w:pPr>
      <w:r>
        <w:rPr>
          <w:rFonts w:ascii="David" w:hAnsi="David" w:cs="David" w:eastAsia="David"/>
          <w:b w:val="0"/>
          <w:i w:val="0"/>
          <w:sz w:val="24"/>
          <w:u w:val="none"/>
          <w:szCs w:val="24"/>
          <w:rtl/>
        </w:rPr>
        <w:t>17.</w:t>
        <w:tab/>
      </w:r>
      <w:r>
        <w:rPr>
          <w:rFonts w:ascii="David" w:hAnsi="David" w:cs="David" w:eastAsia="David"/>
          <w:b w:val="0"/>
          <w:i w:val="0"/>
          <w:sz w:val="24"/>
          <w:u w:val="none"/>
          <w:szCs w:val="24"/>
          <w:rtl/>
        </w:rPr>
        <w:t>לחלופי חלופין - ככל שיוחלט להמשיך בבירור, יש לחקור את עו"ד דסי ואת זקני העדה על נסיבות ההסבר והתרגום. נדרש מתורגמן מוסמך בכל דיון. יש להורות על גילוי המסמכים שעליהם נסמכים הסכומים, קודם לכל דיון.</w:t>
      </w:r>
    </w:p>
    <w:p>
      <w:pPr>
        <w:bidi/>
        <w:spacing w:after="160" w:before="0" w:line="276" w:lineRule="auto"/>
        <w:jc w:val="both"/>
      </w:pPr>
      <w:r>
        <w:rPr>
          <w:rFonts w:ascii="David" w:hAnsi="David" w:cs="David" w:eastAsia="David"/>
          <w:b w:val="0"/>
          <w:i w:val="0"/>
          <w:sz w:val="24"/>
          <w:u w:val="none"/>
          <w:szCs w:val="24"/>
          <w:rtl/>
        </w:rPr>
        <w:t xml:space="preserve">אשר על כל המקובץ לעיל מתבקש בית המשפט הנכבד לדחות את הבקשה לאישור הסכם ההבהרה, לקבוע כי הסכם 2020 הוא ההסדר המחייב היחיד בין הצדדים, וליתן את הסעדים שברישא. </w:t>
      </w:r>
      <w:r>
        <w:rPr>
          <w:rFonts w:ascii="David" w:hAnsi="David" w:cs="David" w:eastAsia="David"/>
          <w:b/>
          <w:i w:val="0"/>
          <w:sz w:val="24"/>
          <w:u w:val="none"/>
          <w:szCs w:val="24"/>
          <w:rtl/>
          <w:bCs/>
        </w:rPr>
        <w:t>מן הדין ומן הצדק להיעתר לבקשה זו.</w:t>
      </w:r>
    </w:p>
    <w:p>
      <w:pPr>
        <w:bidi/>
        <w:spacing w:after="0" w:before="0" w:line="360" w:lineRule="auto"/>
        <w:jc w:val="left"/>
      </w:pPr>
      <w:r>
        <w:rPr>
          <w:rFonts w:ascii="David" w:hAnsi="David" w:cs="David" w:eastAsia="David"/>
          <w:b w:val="0"/>
          <w:i w:val="0"/>
          <w:sz w:val="24"/>
          <w:u w:val="none"/>
          <w:szCs w:val="24"/>
          <w:rtl/>
        </w:rPr>
        <w:t>____________, עו"ד - ב"כ המבקשת 2 / המתנגדת</w:t>
      </w:r>
    </w:p>
    <w:p>
      <w:pPr>
        <w:bidi/>
        <w:spacing w:after="80" w:before="0" w:line="360" w:lineRule="auto"/>
        <w:jc w:val="right"/>
      </w:pPr>
      <w:r>
        <w:rPr>
          <w:rFonts w:ascii="David" w:hAnsi="David" w:cs="David" w:eastAsia="David"/>
          <w:b w:val="0"/>
          <w:i w:val="0"/>
          <w:sz w:val="24"/>
          <w:u w:val="none"/>
          <w:szCs w:val="24"/>
          <w:rtl/>
        </w:rPr>
        <w:t>תאריך: ____________</w:t>
      </w:r>
    </w:p>
    <w:p>
      <w:pPr>
        <w:bidi/>
        <w:spacing w:after="0" w:before="0" w:line="276" w:lineRule="auto"/>
        <w:jc w:val="both"/>
      </w:pPr>
      <w:r>
        <w:rPr>
          <w:rFonts w:ascii="David" w:hAnsi="David" w:cs="David" w:eastAsia="David"/>
          <w:b/>
          <w:i w:val="0"/>
          <w:sz w:val="24"/>
          <w:u w:val="none"/>
          <w:szCs w:val="24"/>
          <w:rtl/>
          <w:bCs/>
        </w:rPr>
        <w:t xml:space="preserve">נספחים: </w:t>
      </w:r>
      <w:r>
        <w:rPr>
          <w:rFonts w:ascii="David" w:hAnsi="David" w:cs="David" w:eastAsia="David"/>
          <w:b w:val="0"/>
          <w:i w:val="0"/>
          <w:sz w:val="24"/>
          <w:u w:val="none"/>
          <w:szCs w:val="24"/>
          <w:rtl/>
        </w:rPr>
        <w:t>א' - הסכם 2020 ופסק הדין מיום 8.7.20; ב' - הסכם ההבהרה; ג' - הבקשה מיום 19.8.26, הפרוטוקול וההחלטה מיום 25.8.26; ד' - ייפוי כוח והודעת הפסקת ייצוג; ה' - תצהיר האישה בצירוף אישור מתורגמן.</w:t>
      </w:r>
    </w:p>
    <w:sectPr w:rsidR="00FC693F" w:rsidRPr="0006063C" w:rsidSect="00034616">
      <w:footerReference w:type="default" r:id="rId9"/>
      <w:pgSz w:w="11906" w:h="16838"/>
      <w:pgMar w:top="850" w:right="1417" w:bottom="646" w:left="1417"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avid" w:hAnsi="David"/>
        <w:sz w:val="20"/>
      </w:rPr>
      <w:fldChar w:fldCharType="begin"/>
    </w:r>
    <w:r>
      <w:rPr>
        <w:rFonts w:ascii="David" w:hAnsi="David"/>
        <w:sz w:val="20"/>
      </w:rPr>
      <w:instrText xml:space="preserve">PAGE</w:instrText>
    </w:r>
    <w:r>
      <w:rPr>
        <w:rFonts w:ascii="David" w:hAnsi="David"/>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avid" w:hAnsi="David" w:cs="Davi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