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0"/>
              <w:left w:type="dxa" w:w="60"/>
              <w:bottom w:type="dxa" w:w="0"/>
              <w:right w:type="dxa" w:w="60"/>
            </w:tcMar>
          </w:tcPr>
          <w:p>
            <w:pPr>
              <w:bidi/>
              <w:spacing w:after="0" w:before="0" w:line="276" w:lineRule="auto"/>
              <w:jc w:val="start"/>
            </w:pPr>
            <w:r>
              <w:rPr>
                <w:rFonts w:ascii="David" w:cs="David" w:eastAsia="David" w:hAnsi="David"/>
                <w:b w:val="false"/>
                <w:bCs w:val="false"/>
                <w:sz w:val="24"/>
                <w:szCs w:val="24"/>
                <w:rtl/>
              </w:rPr>
              <w:t xml:space="preserve">7.9.2026</w:t>
            </w:r>
          </w:p>
        </w:tc>
        <w:tc>
          <w:tcPr>
            <w:tcW w:type="dxa" w:w="4536"/>
            <w:tcBorders>
              <w:top w:val="none" w:color="FFFFFF" w:sz="0"/>
              <w:left w:val="none" w:color="FFFFFF" w:sz="0"/>
              <w:bottom w:val="none" w:color="FFFFFF" w:sz="0"/>
              <w:right w:val="none" w:color="FFFFFF" w:sz="0"/>
            </w:tcBorders>
            <w:tcMar>
              <w:top w:type="dxa" w:w="0"/>
              <w:left w:type="dxa" w:w="60"/>
              <w:bottom w:type="dxa" w:w="0"/>
              <w:right w:type="dxa" w:w="60"/>
            </w:tcMar>
          </w:tcPr>
          <w:p>
            <w:pPr>
              <w:bidi/>
              <w:spacing w:after="0" w:before="0" w:line="276" w:lineRule="auto"/>
              <w:jc w:val="end"/>
            </w:pPr>
            <w:r>
              <w:rPr>
                <w:rFonts w:ascii="David" w:cs="David" w:eastAsia="David" w:hAnsi="David"/>
                <w:b/>
                <w:bCs/>
                <w:sz w:val="24"/>
                <w:szCs w:val="24"/>
                <w:u w:val="single"/>
                <w:rtl/>
              </w:rPr>
              <w:t xml:space="preserve">מבלי לפגוע בזכויות</w:t>
            </w:r>
          </w:p>
          <w:p>
            <w:pPr>
              <w:bidi/>
              <w:spacing w:after="0" w:before="0" w:line="276" w:lineRule="auto"/>
              <w:jc w:val="end"/>
            </w:pPr>
            <w:r>
              <w:rPr>
                <w:rFonts w:ascii="David" w:cs="David" w:eastAsia="David" w:hAnsi="David"/>
                <w:b w:val="false"/>
                <w:bCs w:val="false"/>
                <w:sz w:val="24"/>
                <w:szCs w:val="24"/>
                <w:rtl/>
              </w:rPr>
              <w:t xml:space="preserve">בדוא"ל</w:t>
            </w:r>
          </w:p>
        </w:tc>
      </w:tr>
    </w:tbl>
    <w:p>
      <w:pPr>
        <w:bidi/>
        <w:spacing w:after="0" w:before="240" w:line="276" w:lineRule="auto"/>
        <w:jc w:val="start"/>
      </w:pPr>
      <w:r>
        <w:rPr>
          <w:rFonts w:ascii="David" w:cs="David" w:eastAsia="David" w:hAnsi="David"/>
          <w:b w:val="false"/>
          <w:bCs w:val="false"/>
          <w:sz w:val="24"/>
          <w:szCs w:val="24"/>
          <w:rtl/>
        </w:rPr>
        <w:t xml:space="preserve">לכבוד</w:t>
      </w:r>
    </w:p>
    <w:p>
      <w:pPr>
        <w:bidi/>
        <w:spacing w:after="0" w:before="0" w:line="276" w:lineRule="auto"/>
        <w:jc w:val="start"/>
      </w:pPr>
      <w:r>
        <w:rPr>
          <w:rFonts w:ascii="David" w:cs="David" w:eastAsia="David" w:hAnsi="David"/>
          <w:b/>
          <w:bCs/>
          <w:sz w:val="24"/>
          <w:szCs w:val="24"/>
          <w:rtl/>
        </w:rPr>
        <w:t xml:space="preserve">עו"ד צפנת חן כהן</w:t>
      </w:r>
    </w:p>
    <w:p>
      <w:pPr>
        <w:bidi/>
        <w:spacing w:after="240" w:before="0" w:line="276" w:lineRule="auto"/>
        <w:jc w:val="start"/>
      </w:pPr>
      <w:r>
        <w:rPr>
          <w:rFonts w:ascii="David" w:cs="David" w:eastAsia="David" w:hAnsi="David"/>
          <w:b w:val="false"/>
          <w:bCs w:val="false"/>
          <w:sz w:val="24"/>
          <w:szCs w:val="24"/>
          <w:rtl/>
        </w:rPr>
        <w:t xml:space="preserve">ב"כ מר סיטוטאו אסנקה</w:t>
      </w:r>
    </w:p>
    <w:p>
      <w:pPr>
        <w:bidi/>
        <w:spacing w:after="200" w:before="0" w:line="276" w:lineRule="auto"/>
        <w:jc w:val="start"/>
      </w:pPr>
      <w:r>
        <w:rPr>
          <w:rFonts w:ascii="David" w:cs="David" w:eastAsia="David" w:hAnsi="David"/>
          <w:b w:val="false"/>
          <w:bCs w:val="false"/>
          <w:sz w:val="24"/>
          <w:szCs w:val="24"/>
          <w:rtl/>
        </w:rPr>
        <w:t xml:space="preserve">חברתי הנכבדה,</w:t>
      </w:r>
    </w:p>
    <w:p>
      <w:pPr>
        <w:bidi/>
        <w:spacing w:after="240" w:before="0" w:line="360" w:lineRule="auto"/>
        <w:jc w:val="center"/>
      </w:pPr>
      <w:r>
        <w:rPr>
          <w:rFonts w:ascii="David" w:cs="David" w:eastAsia="David" w:hAnsi="David"/>
          <w:b/>
          <w:bCs/>
          <w:sz w:val="24"/>
          <w:szCs w:val="24"/>
          <w:rtl/>
        </w:rPr>
        <w:t xml:space="preserve">הנדון: </w:t>
      </w:r>
      <w:r>
        <w:rPr>
          <w:rFonts w:ascii="David" w:cs="David" w:eastAsia="David" w:hAnsi="David"/>
          <w:b/>
          <w:bCs/>
          <w:sz w:val="24"/>
          <w:szCs w:val="24"/>
          <w:u w:val="single"/>
          <w:rtl/>
        </w:rPr>
        <w:t xml:space="preserve">תיק 1298590/5 (רחובות) - הצעה להסדר ליווי מוסכם חלף הארכת צו ההגנה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בהחלטת בית הדין מיום 13.8.2026 הוארך תוקף צו ההגנה באופן זמני עד ליום </w:t>
      </w:r>
      <w:r>
        <w:rPr>
          <w:rFonts w:ascii="David" w:cs="David" w:eastAsia="David" w:hAnsi="David"/>
          <w:b/>
          <w:bCs/>
          <w:sz w:val="24"/>
          <w:szCs w:val="24"/>
          <w:rtl/>
        </w:rPr>
        <w:t xml:space="preserve">10.9.2026</w:t>
      </w:r>
      <w:r>
        <w:rPr>
          <w:rFonts w:ascii="David" w:cs="David" w:eastAsia="David" w:hAnsi="David"/>
          <w:b w:val="false"/>
          <w:bCs w:val="false"/>
          <w:sz w:val="24"/>
          <w:szCs w:val="24"/>
          <w:rtl/>
        </w:rPr>
        <w:t xml:space="preserve">, ונקבע כי ניתן להגיש בקשה נוספת החל מיום 6.9.2026.</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מרשתי ערה לעמדת מרשך המתנגד להארכת הצו, ובראש ובראשונה לטובת הילדים ולצורך לקיים את זמני השהות ללא חיכוך. מתוך שיקולים אלה, ומבלי שיהא בכך משום ויתור על טענה כלשהי, מרשתי נכונה שלא לעתור להארכת הצו, ובלבד שיובטח מנגנון המסירה שפעל עד כה.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כידוע לך, לפי עדכון האפוטרופוס לדין מיום 12.8.2026, עם פקיעת הצו יופסק גם הסדר הליווי, והצדדים יידרשו להיפגש ישירות כבר במסירה הראשונה שלאחר מכן. איני סבור שמי מהצדדים מעוניין בכך בשלב זה של ההליך.</w:t>
      </w:r>
    </w:p>
    <w:p>
      <w:pPr>
        <w:pStyle w:val="ListParagraph"/>
        <w:keepNext/>
        <w:numPr>
          <w:ilvl w:val="0"/>
          <w:numId w:val="2"/>
        </w:numPr>
        <w:bidi/>
        <w:spacing w:after="60" w:before="0" w:line="360" w:lineRule="auto"/>
        <w:jc w:val="both"/>
      </w:pPr>
      <w:r>
        <w:rPr>
          <w:rFonts w:ascii="David" w:cs="David" w:eastAsia="David" w:hAnsi="David"/>
          <w:b w:val="false"/>
          <w:bCs w:val="false"/>
          <w:sz w:val="24"/>
          <w:szCs w:val="24"/>
          <w:rtl/>
        </w:rPr>
        <w:t xml:space="preserve">לפיכך, מוצע כדלקמן:</w:t>
      </w:r>
    </w:p>
    <w:p>
      <w:pPr>
        <w:pStyle w:val="ListParagraph"/>
        <w:numPr>
          <w:ilvl w:val="1"/>
          <w:numId w:val="2"/>
        </w:numPr>
        <w:bidi/>
        <w:spacing w:after="60" w:before="0" w:line="360" w:lineRule="auto"/>
        <w:jc w:val="both"/>
      </w:pPr>
      <w:r>
        <w:rPr>
          <w:rFonts w:ascii="David" w:cs="David" w:eastAsia="David" w:hAnsi="David"/>
          <w:b w:val="false"/>
          <w:bCs w:val="false"/>
          <w:sz w:val="24"/>
          <w:szCs w:val="24"/>
          <w:rtl/>
        </w:rPr>
        <w:t xml:space="preserve">מרשתי לא תגיש בקשה להארכת צו ההגנה, והצו יפקע במועדו ביום 10.9.2026.</w:t>
      </w:r>
    </w:p>
    <w:p>
      <w:pPr>
        <w:pStyle w:val="ListParagraph"/>
        <w:numPr>
          <w:ilvl w:val="1"/>
          <w:numId w:val="2"/>
        </w:numPr>
        <w:bidi/>
        <w:spacing w:after="60" w:before="0" w:line="360" w:lineRule="auto"/>
        <w:jc w:val="both"/>
      </w:pPr>
      <w:r>
        <w:rPr>
          <w:rFonts w:ascii="David" w:cs="David" w:eastAsia="David" w:hAnsi="David"/>
          <w:b w:val="false"/>
          <w:bCs w:val="false"/>
          <w:sz w:val="24"/>
          <w:szCs w:val="24"/>
          <w:rtl/>
        </w:rPr>
        <w:t xml:space="preserve">הסדר הליווי של גורם שלישי במסירת הקטינות ובהשבתן, כפי שנהג עד כה מכוח החלטת בית הדין מיום 11.2.2026, ימשיך לחול בהסכמת הצדדים, ללא תלות בצו ההגנה, עד להחלטה אחרת של בית הדין בעניין הסדרי השהות או עד להסכמה אחרת בכתב בין הצדדים.</w:t>
      </w:r>
    </w:p>
    <w:p>
      <w:pPr>
        <w:pStyle w:val="ListParagraph"/>
        <w:numPr>
          <w:ilvl w:val="1"/>
          <w:numId w:val="2"/>
        </w:numPr>
        <w:bidi/>
        <w:spacing w:after="60" w:before="0" w:line="360" w:lineRule="auto"/>
        <w:jc w:val="both"/>
      </w:pPr>
      <w:r>
        <w:rPr>
          <w:rFonts w:ascii="David" w:cs="David" w:eastAsia="David" w:hAnsi="David"/>
          <w:b w:val="false"/>
          <w:bCs w:val="false"/>
          <w:sz w:val="24"/>
          <w:szCs w:val="24"/>
          <w:rtl/>
        </w:rPr>
        <w:t xml:space="preserve">הצדדים יגישו לבית הדין הודעה מוסכמת בנוסח המצורף למכתב זה, ויבקשו ליתן להסכמה תוקף של החלטה, כך שהאפוטרופוס לדין והגורם המלווה יפעלו על פיה.</w:t>
      </w:r>
    </w:p>
    <w:p>
      <w:pPr>
        <w:pStyle w:val="ListParagraph"/>
        <w:numPr>
          <w:ilvl w:val="1"/>
          <w:numId w:val="2"/>
        </w:numPr>
        <w:bidi/>
        <w:spacing w:after="120" w:before="0" w:line="360" w:lineRule="auto"/>
        <w:jc w:val="both"/>
      </w:pPr>
      <w:r>
        <w:rPr>
          <w:rFonts w:ascii="David" w:cs="David" w:eastAsia="David" w:hAnsi="David"/>
          <w:b w:val="false"/>
          <w:bCs w:val="false"/>
          <w:sz w:val="24"/>
          <w:szCs w:val="24"/>
          <w:rtl/>
        </w:rPr>
        <w:t xml:space="preserve">ההסכמה אינה מהווה הודאה של מי מהצדדים בטענה כלשהי, ואינה גורעת מזכותו של כל צד לפנות לבית הדין בכל עת.</w:t>
      </w:r>
    </w:p>
    <w:p>
      <w:pPr>
        <w:pStyle w:val="ListParagraph"/>
        <w:numPr>
          <w:ilvl w:val="0"/>
          <w:numId w:val="2"/>
        </w:numPr>
        <w:bidi/>
        <w:spacing w:after="360" w:before="0" w:line="360" w:lineRule="auto"/>
        <w:jc w:val="both"/>
      </w:pPr>
      <w:r>
        <w:rPr>
          <w:rFonts w:ascii="David" w:cs="David" w:eastAsia="David" w:hAnsi="David"/>
          <w:b w:val="false"/>
          <w:bCs w:val="false"/>
          <w:sz w:val="24"/>
          <w:szCs w:val="24"/>
          <w:rtl/>
        </w:rPr>
        <w:t xml:space="preserve">הסדר זה משיג את מבוקשו של מרשך, ביטול הצו, תוך שמירה על היציבות שכל הצדדים והילדים נהנו ממנה עד כה. אודה לתשובתך עד ליום </w:t>
      </w:r>
      <w:r>
        <w:rPr>
          <w:rFonts w:ascii="David" w:cs="David" w:eastAsia="David" w:hAnsi="David"/>
          <w:b/>
          <w:bCs/>
          <w:sz w:val="24"/>
          <w:szCs w:val="24"/>
          <w:rtl/>
        </w:rPr>
        <w:t xml:space="preserve">9.9.2026 בשעה 12:00</w:t>
      </w:r>
      <w:r>
        <w:rPr>
          <w:rFonts w:ascii="David" w:cs="David" w:eastAsia="David" w:hAnsi="David"/>
          <w:b w:val="false"/>
          <w:bCs w:val="false"/>
          <w:sz w:val="24"/>
          <w:szCs w:val="24"/>
          <w:rtl/>
        </w:rPr>
        <w:t xml:space="preserve">. בהיעדר הסכמה עד למועד זה, מרשתי שומרת על זכותה להגיש בקשה להארכת הצו בטרם פקיעתו, ומכתב זה לא ישמש כנגדה.</w:t>
      </w:r>
    </w:p>
    <w:p>
      <w:pPr>
        <w:bidi/>
        <w:spacing w:after="480" w:before="0" w:line="276" w:lineRule="auto"/>
        <w:jc w:val="start"/>
      </w:pPr>
      <w:r>
        <w:rPr>
          <w:rFonts w:ascii="David" w:cs="David" w:eastAsia="David" w:hAnsi="David"/>
          <w:b w:val="false"/>
          <w:bCs w:val="false"/>
          <w:sz w:val="24"/>
          <w:szCs w:val="24"/>
          <w:rtl/>
        </w:rPr>
        <w:t xml:space="preserve">בכבוד רב,</w:t>
      </w:r>
    </w:p>
    <w:p>
      <w:pPr>
        <w:bidi/>
        <w:spacing w:after="0" w:before="0" w:line="276" w:lineRule="auto"/>
        <w:jc w:val="start"/>
      </w:pPr>
      <w:r>
        <w:rPr>
          <w:rFonts w:ascii="David" w:cs="David" w:eastAsia="David" w:hAnsi="David"/>
          <w:b/>
          <w:bCs/>
          <w:sz w:val="24"/>
          <w:szCs w:val="24"/>
          <w:rtl/>
        </w:rPr>
        <w:t xml:space="preserve">סולומון טקה, עו"ד</w:t>
      </w:r>
    </w:p>
    <w:p>
      <w:pPr>
        <w:bidi/>
        <w:spacing w:after="240" w:before="0" w:line="276" w:lineRule="auto"/>
        <w:jc w:val="start"/>
      </w:pPr>
      <w:r>
        <w:rPr>
          <w:rFonts w:ascii="David" w:cs="David" w:eastAsia="David" w:hAnsi="David"/>
          <w:b w:val="false"/>
          <w:bCs w:val="false"/>
          <w:sz w:val="24"/>
          <w:szCs w:val="24"/>
          <w:rtl/>
        </w:rPr>
        <w:t xml:space="preserve">ב"כ הגב' ישאמבת עלמיהו</w:t>
      </w:r>
    </w:p>
    <w:p>
      <w:pPr>
        <w:bidi/>
        <w:spacing w:after="0" w:before="0" w:line="276" w:lineRule="auto"/>
        <w:jc w:val="start"/>
      </w:pPr>
      <w:r>
        <w:rPr>
          <w:rFonts w:ascii="David" w:cs="David" w:eastAsia="David" w:hAnsi="David"/>
          <w:b/>
          <w:bCs/>
          <w:sz w:val="24"/>
          <w:szCs w:val="24"/>
          <w:rtl/>
        </w:rPr>
        <w:t xml:space="preserve">מצ"ב: </w:t>
      </w:r>
      <w:r>
        <w:rPr>
          <w:rFonts w:ascii="David" w:cs="David" w:eastAsia="David" w:hAnsi="David"/>
          <w:b w:val="false"/>
          <w:bCs w:val="false"/>
          <w:sz w:val="24"/>
          <w:szCs w:val="24"/>
          <w:rtl/>
        </w:rPr>
        <w:t xml:space="preserve">נוסח הודעה מוסכמת לחתימת הצדדים.</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hebrew1"/>
      <w:suff w:val="tab"/>
      <w:lvlText w:val="%2."/>
      <w:lvlJc w:val="start"/>
      <w:pPr>
        <w:ind w:left="1134"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מכתב לב"כ המשיב - הצעה להסדר ליווי מוסכם</dc:title>
  <dc:creator>עו"ד סולומון טקה</dc:creator>
  <cp:lastModifiedBy>Un-named</cp:lastModifiedBy>
  <cp:revision>1</cp:revision>
  <dcterms:created xsi:type="dcterms:W3CDTF">2026-09-07T11:15:52.473Z</dcterms:created>
  <dcterms:modified xsi:type="dcterms:W3CDTF">2026-09-07T11:15:52.487Z</dcterms:modified>
</cp:coreProperties>
</file>

<file path=docProps/custom.xml><?xml version="1.0" encoding="utf-8"?>
<Properties xmlns="http://schemas.openxmlformats.org/officeDocument/2006/custom-properties" xmlns:vt="http://schemas.openxmlformats.org/officeDocument/2006/docPropsVTypes"/>
</file>