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" w:line="320" w:lineRule="auto"/>
        <w:jc w:val="start"/>
      </w:pPr>
      <w:r>
        <w:rPr>
          <w:rFonts w:ascii="David" w:cs="David" w:eastAsia="David" w:hAnsi="David"/>
          <w:sz w:val="24"/>
          <w:szCs w:val="24"/>
          <w:rtl/>
        </w:rPr>
        <w:t xml:space="preserve">מהות התביעה: גירושין ופירוק שיתוף (כרוך)</w:t>
      </w:r>
    </w:p>
    <w:p>
      <w:pPr>
        <w:bidi/>
        <w:spacing w:after="240" w:before="240" w:line="320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כתב תביעה</w:t>
      </w:r>
    </w:p>
    <w:p>
      <w:pPr>
        <w:keepNext/>
        <w:bidi/>
        <w:spacing w:after="180" w:before="240" w:line="32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א. הגירושין :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והנתבע זוג נשוי, אשר עלו ארצה מאתיופיה.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והנתבע נישאו באתיופיה לפני כ-</w:t>
      </w:r>
      <w:r>
        <w:rPr>
          <w:rFonts w:ascii="David" w:cs="David" w:eastAsia="David" w:hAnsi="David"/>
          <w:sz w:val="24"/>
          <w:szCs w:val="24"/>
          <w:highlight w:val="yellow"/>
          <w:highlightCs w:val="yellow"/>
          <w:rtl/>
        </w:rPr>
        <w:t xml:space="preserve">[__]</w:t>
      </w:r>
      <w:r>
        <w:rPr>
          <w:rFonts w:ascii="David" w:cs="David" w:eastAsia="David" w:hAnsi="David"/>
          <w:sz w:val="24"/>
          <w:szCs w:val="24"/>
          <w:rtl/>
        </w:rPr>
        <w:t xml:space="preserve"> שנה, ולהם 7 צאצאים, כולם בגירים.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הנישואין נערכו באתיופיה, ולכן אין בידי הצדדים תעודת נישואין. הצדדים רשומים כנשואים במשרד הפנים.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למרבה הצער, נישואי בני הזוג עלו על שירטון, וזאת עקב התנהגותו האלימה של הנתבע כלפי התובעת.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סיפרה על אלימות הנתבע לעובדת הסוציאלית במחלקת הרווחה.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לפני כשבע שנים, בעקבות אלימות הנתבע, נאלצה התובעת לעזוב את דירת הצדדים, ומאז היא מתגוררת בבית אמה בנתניה.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הנתבע הרחיק גם את ילדיו מהבית, והוא מתגורר בדירה לבדו.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בשנת 2025 פתח הנתבע תיק בבית המשפט בבקשה לצו הרחקה נגד התובעת. אולם, כאשר היה אמור להתקיים הדיון, התקשר הנתבע ואמר שאינו מעוניין להגיע, בטענה שאחיו חולה.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כבר שבע שנים שבני הזוג חיים בנפרד, והלכה למעשה הנישואין נשארו רק "על הנייר".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מואסת בנתבע ואינה מעוניינת בשום אופן להמשיך בברית הנישואין, ואין כל סיכוי לשלום בית.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תביעת הגירושין של התובעת כנה, והתובעת מבקשת להתגרש מהנתבע.</w:t>
      </w:r>
    </w:p>
    <w:p>
      <w:pPr>
        <w:keepNext/>
        <w:bidi/>
        <w:spacing w:after="180" w:before="240" w:line="32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ב. פירוק השיתוף בדירה :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והנתבע הם בעלי דירה בחלקים שווים, ברחוב נחום 25 דירה 17 בנתניה, הידועה כגוש 1533 חלקה 12 תת חלקה 4 (להלן: "הדירה").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מאז שהתובעת עזבה את הדירה, הנתבע ממשיך להתגורר בה לבדו, מבלי לשלם לתובעת דבר.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כורכת במפורש בתביעת הגירושין את פירוק השיתוף בדירה. הכריכה נעשית כדין, והתביעה כנה.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אינה מתנגדת לכך שהנתבע ירכוש את חלקה בדירה. אם לא יעשה כן, אין מנוס מפירוק השיתוף ומכירת הדירה לצד ג'.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כל שנותר לצדדים הוא להתגרש ולפרק את השיתוף בדירה.</w:t>
      </w:r>
    </w:p>
    <w:p>
      <w:pPr>
        <w:keepNext/>
        <w:bidi/>
        <w:spacing w:after="180" w:before="240" w:line="32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ג. שמירת זכויות :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התובעת שומרת על זכותה לתבוע בעתיד את הנתבע בגין דמי שימוש ראויים, עבור התקופה שבה הוא מתגורר בדירה לבדו.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כמו כן שומרת התובעת על זכויותיה ביתר העניינים, לרבות כתובה ואיזון משאבים.</w:t>
      </w:r>
    </w:p>
    <w:p>
      <w:pPr>
        <w:keepNext/>
        <w:bidi/>
        <w:spacing w:after="180" w:before="240" w:line="32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ד. הסעדים המבוקשים :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אשר על כן מבוקש להזמין את הצדדים לבית הדין הרבני הנכבד, ולהורות כדלקמן:</w:t>
      </w:r>
    </w:p>
    <w:p>
      <w:pPr>
        <w:pStyle w:val="ListParagraph"/>
        <w:numPr>
          <w:ilvl w:val="1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להורות לנתבע לתת גט לאשתו.</w:t>
      </w:r>
    </w:p>
    <w:p>
      <w:pPr>
        <w:pStyle w:val="ListParagraph"/>
        <w:numPr>
          <w:ilvl w:val="1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להורות על פירוק השיתוף בדירה, בדרך של מכירתה לכל המרבה במחיר.</w:t>
      </w:r>
    </w:p>
    <w:p>
      <w:pPr>
        <w:pStyle w:val="ListParagraph"/>
        <w:numPr>
          <w:ilvl w:val="1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למנות את ב"כ התובעת ככונס נכסים לצורך מכירת הדירה.</w:t>
      </w:r>
    </w:p>
    <w:p>
      <w:pPr>
        <w:pStyle w:val="ListParagraph"/>
        <w:numPr>
          <w:ilvl w:val="1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להורות על פינוי הנתבע מהדירה, על מנת שלא להכשיל את מכירתה.</w:t>
      </w:r>
    </w:p>
    <w:p>
      <w:pPr>
        <w:pStyle w:val="ListParagraph"/>
        <w:numPr>
          <w:ilvl w:val="1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לחייב את הנתבע בהוצאות התביעה, לרבות שכ"ט עו"ד ומע"מ כחוק.</w:t>
      </w:r>
    </w:p>
    <w:p>
      <w:pPr>
        <w:bidi/>
        <w:spacing w:after="180" w:line="320" w:lineRule="auto"/>
        <w:jc w:val="both"/>
      </w:pP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line="320" w:lineRule="auto"/>
              <w:jc w:val="center"/>
            </w:pPr>
          </w:p>
          <w:p>
            <w:pPr>
              <w:bidi/>
              <w:spacing w:after="0" w:line="320" w:lineRule="auto"/>
              <w:jc w:val="center"/>
            </w:pP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line="32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__________________</w:t>
            </w:r>
          </w:p>
          <w:p>
            <w:pPr>
              <w:bidi/>
              <w:spacing w:after="0" w:line="32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ב"כ התובעת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sz w:val="20"/>
        <w:szCs w:val="20"/>
        <w:rtl/>
      </w:rPr>
      <w:t xml:space="preserve">עמוד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sz w:val="20"/>
        <w:szCs w:val="20"/>
        <w:rtl/>
      </w:rPr>
      <w:t xml:space="preserve"> מתוך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  <w:lvl w:ilvl="1" w15:tentative="1">
      <w:start w:val="1"/>
      <w:numFmt w:val="decimal"/>
      <w:suff w:val="tab"/>
      <w:lvlText w:val="%1.%2."/>
      <w:lvlJc w:val="star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2026-10-15T09:20:12.143Z</dcterms:created>
  <dcterms:modified xsi:type="dcterms:W3CDTF">2026-10-15T09:20:12.143Z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