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Mar>
              <w:top w:type="dxa" w:w="40"/>
              <w:left w:type="dxa" w:w="0"/>
              <w:bottom w:type="dxa" w:w="40"/>
              <w:right w:type="dxa" w:w="0"/>
            </w:tcMar>
          </w:tcPr>
          <w:p>
            <w:pPr>
              <w:bidi/>
              <w:jc w:val="start"/>
            </w:pPr>
            <w:r>
              <w:rPr>
                <w:rFonts w:ascii="David" w:cs="David" w:eastAsia="David" w:hAnsi="David"/>
                <w:b/>
                <w:bCs/>
                <w:i w:val="false"/>
                <w:iCs w:val="false"/>
                <w:sz w:val="26"/>
                <w:szCs w:val="26"/>
                <w:rtl/>
              </w:rPr>
              <w:t xml:space="preserve">בבית משפט השלום בפתח תקווה</w:t>
            </w:r>
          </w:p>
        </w:tc>
        <w:tc>
          <w:tcPr>
            <w:tcW w:type="dxa" w:w="4536"/>
            <w:tcBorders>
              <w:top w:val="none" w:color="FFFFFF" w:sz="0"/>
              <w:left w:val="none" w:color="FFFFFF" w:sz="0"/>
              <w:bottom w:val="none" w:color="FFFFFF" w:sz="0"/>
              <w:right w:val="none" w:color="FFFFFF" w:sz="0"/>
            </w:tcBorders>
            <w:tcMar>
              <w:top w:type="dxa" w:w="40"/>
              <w:left w:type="dxa" w:w="0"/>
              <w:bottom w:type="dxa" w:w="40"/>
              <w:right w:type="dxa" w:w="0"/>
            </w:tcMar>
          </w:tcPr>
          <w:p>
            <w:pPr>
              <w:bidi/>
              <w:jc w:val="end"/>
            </w:pPr>
            <w:r>
              <w:rPr>
                <w:rFonts w:ascii="David" w:cs="David" w:eastAsia="David" w:hAnsi="David"/>
                <w:b/>
                <w:bCs/>
                <w:i w:val="false"/>
                <w:iCs w:val="false"/>
                <w:sz w:val="26"/>
                <w:szCs w:val="26"/>
                <w:rtl/>
              </w:rPr>
              <w:t xml:space="preserve">ת"א ______________</w:t>
            </w:r>
          </w:p>
        </w:tc>
      </w:tr>
    </w:tbl>
    <w:p>
      <w:pPr>
        <w:bidi/>
        <w:spacing w:after="120" w:before="0" w:line="360" w:lineRule="auto"/>
        <w:jc w:val="both"/>
      </w:pP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7572"/>
        <w:gridCol w:w="1500"/>
      </w:tblGrid>
      <w:tr>
        <w:tc>
          <w:tcPr>
            <w:tcW w:type="dxa" w:w="7572"/>
            <w:tcBorders>
              <w:top w:val="none" w:color="FFFFFF" w:sz="0"/>
              <w:left w:val="none" w:color="FFFFFF" w:sz="0"/>
              <w:bottom w:val="none" w:color="FFFFFF" w:sz="0"/>
              <w:right w:val="none" w:color="FFFFFF" w:sz="0"/>
            </w:tcBorders>
            <w:tcMar>
              <w:top w:type="dxa" w:w="40"/>
              <w:left w:type="dxa" w:w="0"/>
              <w:bottom w:type="dxa" w:w="40"/>
              <w:right w:type="dxa" w:w="0"/>
            </w:tcMar>
          </w:tcPr>
          <w:p>
            <w:pPr>
              <w:bidi/>
              <w:spacing w:line="300" w:lineRule="auto"/>
              <w:jc w:val="start"/>
            </w:pPr>
            <w:r>
              <w:rPr>
                <w:rFonts w:ascii="David" w:cs="David" w:eastAsia="David" w:hAnsi="David"/>
                <w:b/>
                <w:bCs/>
                <w:i w:val="false"/>
                <w:iCs w:val="false"/>
                <w:sz w:val="24"/>
                <w:szCs w:val="24"/>
                <w:rtl/>
              </w:rPr>
              <w:t xml:space="preserve">עמידר, החברה הלאומית לשיכון בישראל בע"מ, ח.פ. 520017393</w:t>
            </w:r>
          </w:p>
          <w:p>
            <w:pPr>
              <w:bidi/>
              <w:spacing w:line="300" w:lineRule="auto"/>
              <w:jc w:val="start"/>
            </w:pPr>
            <w:r>
              <w:rPr>
                <w:rFonts w:ascii="David" w:cs="David" w:eastAsia="David" w:hAnsi="David"/>
                <w:b w:val="false"/>
                <w:bCs w:val="false"/>
                <w:i w:val="false"/>
                <w:iCs w:val="false"/>
                <w:sz w:val="24"/>
                <w:szCs w:val="24"/>
                <w:rtl/>
              </w:rPr>
              <w:t xml:space="preserve">ע"י ב"כ עוה"ד ליאור סיגון (מ.ר. 57413) ו/או ג'וזף דוד (מ.ר. 82574) ואח', מרח' מצדה 9, בני ברק</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0"/>
            </w:tcMar>
          </w:tcPr>
          <w:p>
            <w:pPr>
              <w:bidi/>
              <w:jc w:val="end"/>
            </w:pPr>
            <w:r>
              <w:rPr>
                <w:rFonts w:ascii="David" w:cs="David" w:eastAsia="David" w:hAnsi="David"/>
                <w:b/>
                <w:bCs/>
                <w:i w:val="false"/>
                <w:iCs w:val="false"/>
                <w:sz w:val="24"/>
                <w:szCs w:val="24"/>
                <w:rtl/>
              </w:rPr>
              <w:t xml:space="preserve">התובעת</w:t>
            </w:r>
          </w:p>
        </w:tc>
      </w:tr>
    </w:tbl>
    <w:p>
      <w:pPr>
        <w:bidi/>
        <w:spacing w:after="100" w:before="100"/>
        <w:jc w:val="center"/>
      </w:pPr>
      <w:r>
        <w:rPr>
          <w:rFonts w:ascii="David" w:cs="David" w:eastAsia="David" w:hAnsi="David"/>
          <w:b/>
          <w:bCs/>
          <w:i w:val="false"/>
          <w:iCs w:val="false"/>
          <w:sz w:val="24"/>
          <w:szCs w:val="24"/>
          <w:rtl/>
        </w:rPr>
        <w:t xml:space="preserve">- נ ג ד -</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7572"/>
        <w:gridCol w:w="1500"/>
      </w:tblGrid>
      <w:tr>
        <w:tc>
          <w:tcPr>
            <w:tcW w:type="dxa" w:w="7572"/>
            <w:tcBorders>
              <w:top w:val="none" w:color="FFFFFF" w:sz="0"/>
              <w:left w:val="none" w:color="FFFFFF" w:sz="0"/>
              <w:bottom w:val="none" w:color="FFFFFF" w:sz="0"/>
              <w:right w:val="none" w:color="FFFFFF" w:sz="0"/>
            </w:tcBorders>
            <w:tcMar>
              <w:top w:type="dxa" w:w="40"/>
              <w:left w:type="dxa" w:w="0"/>
              <w:bottom w:type="dxa" w:w="40"/>
              <w:right w:type="dxa" w:w="0"/>
            </w:tcMar>
          </w:tcPr>
          <w:p>
            <w:pPr>
              <w:bidi/>
              <w:spacing w:line="300" w:lineRule="auto"/>
              <w:jc w:val="start"/>
            </w:pPr>
            <w:r>
              <w:rPr>
                <w:rFonts w:ascii="David" w:cs="David" w:eastAsia="David" w:hAnsi="David"/>
                <w:b/>
                <w:bCs/>
                <w:i w:val="false"/>
                <w:iCs w:val="false"/>
                <w:sz w:val="24"/>
                <w:szCs w:val="24"/>
                <w:rtl/>
              </w:rPr>
              <w:t xml:space="preserve">טדילה וונדימאג'ן, ת.ז. 303214373, מרח' צה"ל 72/6, פתח תקווה; טל': 050-2213355</w:t>
            </w:r>
          </w:p>
          <w:p>
            <w:pPr>
              <w:bidi/>
              <w:spacing w:line="300" w:lineRule="auto"/>
              <w:jc w:val="start"/>
            </w:pPr>
            <w:r>
              <w:rPr>
                <w:rFonts w:ascii="David" w:cs="David" w:eastAsia="David" w:hAnsi="David"/>
                <w:b w:val="false"/>
                <w:bCs w:val="false"/>
                <w:i w:val="false"/>
                <w:iCs w:val="false"/>
                <w:sz w:val="24"/>
                <w:szCs w:val="24"/>
                <w:rtl/>
              </w:rPr>
              <w:t xml:space="preserve">ע"י ב"כ עו"ד ____________________, מ.ר. __________</w:t>
            </w:r>
          </w:p>
          <w:p>
            <w:pPr>
              <w:bidi/>
              <w:spacing w:line="300" w:lineRule="auto"/>
              <w:jc w:val="start"/>
            </w:pPr>
            <w:r>
              <w:rPr>
                <w:rFonts w:ascii="David" w:cs="David" w:eastAsia="David" w:hAnsi="David"/>
                <w:b w:val="false"/>
                <w:bCs w:val="false"/>
                <w:i w:val="false"/>
                <w:iCs w:val="false"/>
                <w:sz w:val="24"/>
                <w:szCs w:val="24"/>
                <w:rtl/>
              </w:rPr>
              <w:t xml:space="preserve">מרח' ____________________; טל': ____________; דוא"ל: ____________</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0"/>
            </w:tcMar>
          </w:tcPr>
          <w:p>
            <w:pPr>
              <w:bidi/>
              <w:jc w:val="end"/>
            </w:pPr>
            <w:r>
              <w:rPr>
                <w:rFonts w:ascii="David" w:cs="David" w:eastAsia="David" w:hAnsi="David"/>
                <w:b/>
                <w:bCs/>
                <w:i w:val="false"/>
                <w:iCs w:val="false"/>
                <w:sz w:val="24"/>
                <w:szCs w:val="24"/>
                <w:rtl/>
              </w:rPr>
              <w:t xml:space="preserve">הנתבעת</w:t>
            </w:r>
          </w:p>
        </w:tc>
      </w:tr>
    </w:tbl>
    <w:p>
      <w:pPr>
        <w:keepNext/>
        <w:keepLines/>
        <w:bidi/>
        <w:spacing w:after="200" w:before="240" w:line="360" w:lineRule="auto"/>
        <w:jc w:val="center"/>
      </w:pPr>
      <w:r>
        <w:rPr>
          <w:rFonts w:ascii="David" w:cs="David" w:eastAsia="David" w:hAnsi="David"/>
          <w:b/>
          <w:bCs/>
          <w:i w:val="false"/>
          <w:iCs w:val="false"/>
          <w:sz w:val="32"/>
          <w:szCs w:val="32"/>
          <w:u w:val="single"/>
          <w:rtl/>
        </w:rPr>
        <w:t xml:space="preserve">כתב הגנה</w:t>
      </w:r>
    </w:p>
    <w:p>
      <w:pPr>
        <w:bidi/>
        <w:spacing w:after="80" w:before="0" w:line="360" w:lineRule="auto"/>
        <w:jc w:val="both"/>
      </w:pPr>
      <w:r>
        <w:rPr>
          <w:rFonts w:ascii="David" w:cs="David" w:eastAsia="David" w:hAnsi="David"/>
          <w:b/>
          <w:bCs/>
          <w:i w:val="false"/>
          <w:iCs w:val="false"/>
          <w:sz w:val="24"/>
          <w:szCs w:val="24"/>
          <w:rtl/>
        </w:rPr>
        <w:t xml:space="preserve">מהות התביעה: </w:t>
      </w:r>
      <w:r>
        <w:rPr>
          <w:rFonts w:ascii="David" w:cs="David" w:eastAsia="David" w:hAnsi="David"/>
          <w:b w:val="false"/>
          <w:bCs w:val="false"/>
          <w:i w:val="false"/>
          <w:iCs w:val="false"/>
          <w:sz w:val="24"/>
          <w:szCs w:val="24"/>
          <w:rtl/>
        </w:rPr>
        <w:t xml:space="preserve">כספית. סכום התביעה: 36,533.38 ₪.</w:t>
      </w:r>
    </w:p>
    <w:p>
      <w:pPr>
        <w:bidi/>
        <w:spacing w:after="80" w:before="0" w:line="360" w:lineRule="auto"/>
        <w:jc w:val="both"/>
      </w:pPr>
      <w:r>
        <w:rPr>
          <w:rFonts w:ascii="David" w:cs="David" w:eastAsia="David" w:hAnsi="David"/>
          <w:b/>
          <w:bCs/>
          <w:i w:val="false"/>
          <w:iCs w:val="false"/>
          <w:sz w:val="24"/>
          <w:szCs w:val="24"/>
          <w:rtl/>
        </w:rPr>
        <w:t xml:space="preserve">מסלול הדיון: </w:t>
      </w:r>
      <w:r>
        <w:rPr>
          <w:rFonts w:ascii="David" w:cs="David" w:eastAsia="David" w:hAnsi="David"/>
          <w:b w:val="false"/>
          <w:bCs w:val="false"/>
          <w:i w:val="false"/>
          <w:iCs w:val="false"/>
          <w:sz w:val="24"/>
          <w:szCs w:val="24"/>
          <w:rtl/>
        </w:rPr>
        <w:t xml:space="preserve">דיון מהיר (תקנה 78(א)(1) לתקנות סדר הדין האזרחי, התשע"ט-2018), כפי שמצהירה התובעת בנספח 6 לכתב התביעה.</w:t>
      </w:r>
    </w:p>
    <w:p>
      <w:pPr>
        <w:bidi/>
        <w:spacing w:after="80" w:before="0" w:line="360" w:lineRule="auto"/>
        <w:jc w:val="both"/>
      </w:pPr>
      <w:r>
        <w:rPr>
          <w:rFonts w:ascii="David" w:cs="David" w:eastAsia="David" w:hAnsi="David"/>
          <w:b/>
          <w:bCs/>
          <w:i w:val="false"/>
          <w:iCs w:val="false"/>
          <w:sz w:val="24"/>
          <w:szCs w:val="24"/>
          <w:rtl/>
        </w:rPr>
        <w:t xml:space="preserve">מועד המצאת כתב התביעה לנתבעת: </w:t>
      </w:r>
      <w:r>
        <w:rPr>
          <w:rFonts w:ascii="David" w:cs="David" w:eastAsia="David" w:hAnsi="David"/>
          <w:b w:val="false"/>
          <w:bCs w:val="false"/>
          <w:i w:val="false"/>
          <w:iCs w:val="false"/>
          <w:sz w:val="24"/>
          <w:szCs w:val="24"/>
          <w:rtl/>
        </w:rPr>
        <w:t xml:space="preserve">יום 21.6.2026.</w:t>
      </w:r>
    </w:p>
    <w:p>
      <w:pPr>
        <w:bidi/>
        <w:spacing w:after="80" w:before="0" w:line="360" w:lineRule="auto"/>
        <w:jc w:val="both"/>
      </w:pPr>
      <w:r>
        <w:rPr>
          <w:rFonts w:ascii="David" w:cs="David" w:eastAsia="David" w:hAnsi="David"/>
          <w:b/>
          <w:bCs/>
          <w:i w:val="false"/>
          <w:iCs w:val="false"/>
          <w:sz w:val="24"/>
          <w:szCs w:val="24"/>
          <w:rtl/>
        </w:rPr>
        <w:t xml:space="preserve">מועד אחרון להגשת כתב ההגנה: </w:t>
      </w:r>
      <w:r>
        <w:rPr>
          <w:rFonts w:ascii="David" w:cs="David" w:eastAsia="David" w:hAnsi="David"/>
          <w:b w:val="false"/>
          <w:bCs w:val="false"/>
          <w:i w:val="false"/>
          <w:iCs w:val="false"/>
          <w:sz w:val="24"/>
          <w:szCs w:val="24"/>
          <w:rtl/>
        </w:rPr>
        <w:t xml:space="preserve">יום 4.9.2026.</w:t>
      </w:r>
    </w:p>
    <w:p>
      <w:pPr>
        <w:bidi/>
        <w:spacing w:after="80" w:before="0" w:line="360" w:lineRule="auto"/>
        <w:jc w:val="both"/>
      </w:pPr>
      <w:r>
        <w:rPr>
          <w:rFonts w:ascii="David" w:cs="David" w:eastAsia="David" w:hAnsi="David"/>
          <w:b/>
          <w:bCs/>
          <w:i w:val="false"/>
          <w:iCs w:val="false"/>
          <w:sz w:val="24"/>
          <w:szCs w:val="24"/>
          <w:rtl/>
        </w:rPr>
        <w:t xml:space="preserve">דבר קיומו של הליך נוסף: </w:t>
      </w:r>
      <w:r>
        <w:rPr>
          <w:rFonts w:ascii="David" w:cs="David" w:eastAsia="David" w:hAnsi="David"/>
          <w:b w:val="false"/>
          <w:bCs w:val="false"/>
          <w:i w:val="false"/>
          <w:iCs w:val="false"/>
          <w:sz w:val="24"/>
          <w:szCs w:val="24"/>
          <w:rtl/>
        </w:rPr>
        <w:t xml:space="preserve">ת"א 12718-06-26, תביעה לסילוק יד בין אותם בעלי דין, שלפי כתב התביעה הוגשה "בגין אותה מסכת עובדתית".</w:t>
      </w:r>
    </w:p>
    <w:p>
      <w:pPr>
        <w:bidi/>
        <w:spacing w:after="120" w:before="200" w:line="360" w:lineRule="auto"/>
        <w:jc w:val="both"/>
      </w:pPr>
      <w:r>
        <w:rPr>
          <w:rFonts w:ascii="David" w:cs="David" w:eastAsia="David" w:hAnsi="David"/>
          <w:b w:val="false"/>
          <w:bCs w:val="false"/>
          <w:i w:val="false"/>
          <w:iCs w:val="false"/>
          <w:sz w:val="24"/>
          <w:szCs w:val="24"/>
          <w:rtl/>
        </w:rPr>
        <w:t xml:space="preserve">הנתבעת מתכבדת להגיש כתב הגנה מטעמה. </w:t>
      </w:r>
      <w:r>
        <w:rPr>
          <w:rFonts w:ascii="David" w:cs="David" w:eastAsia="David" w:hAnsi="David"/>
          <w:b/>
          <w:bCs/>
          <w:i w:val="false"/>
          <w:iCs w:val="false"/>
          <w:sz w:val="24"/>
          <w:szCs w:val="24"/>
          <w:rtl/>
        </w:rPr>
        <w:t xml:space="preserve">כל הטענות הנטענות בכתב התביעה מוכחשות, למעט אם צוין במפורש אחרת.</w:t>
      </w:r>
    </w:p>
    <w:p>
      <w:pPr>
        <w:keepNext/>
        <w:keepLines/>
        <w:bidi/>
        <w:spacing w:after="100" w:before="140" w:line="360" w:lineRule="auto"/>
        <w:jc w:val="center"/>
      </w:pPr>
      <w:r>
        <w:rPr>
          <w:rFonts w:ascii="David" w:cs="David" w:eastAsia="David" w:hAnsi="David"/>
          <w:b/>
          <w:bCs/>
          <w:i w:val="false"/>
          <w:iCs w:val="false"/>
          <w:sz w:val="26"/>
          <w:szCs w:val="26"/>
          <w:u w:val="single"/>
          <w:rtl/>
        </w:rPr>
        <w:t xml:space="preserve">חלק שני - עיקר הטענות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w:t>
      </w:r>
      <w:r>
        <w:rPr>
          <w:rFonts w:ascii="David" w:cs="David" w:eastAsia="David" w:hAnsi="David"/>
          <w:sz w:val="24"/>
          <w:szCs w:val="24"/>
          <w:rtl/>
        </w:rPr>
        <w:tab/>
      </w:r>
      <w:r>
        <w:rPr>
          <w:rFonts w:ascii="David" w:cs="David" w:eastAsia="David" w:hAnsi="David"/>
          <w:b/>
          <w:bCs/>
          <w:i w:val="false"/>
          <w:iCs w:val="false"/>
          <w:sz w:val="24"/>
          <w:szCs w:val="24"/>
          <w:rtl/>
        </w:rPr>
        <w:t xml:space="preserve">פיצול סעדים.</w:t>
      </w:r>
      <w:r>
        <w:rPr>
          <w:rFonts w:ascii="David" w:cs="David" w:eastAsia="David" w:hAnsi="David"/>
          <w:b w:val="false"/>
          <w:bCs w:val="false"/>
          <w:i w:val="false"/>
          <w:iCs w:val="false"/>
          <w:sz w:val="24"/>
          <w:szCs w:val="24"/>
          <w:rtl/>
        </w:rPr>
        <w:t xml:space="preserve"> התובעת מציינת בכתב תביעתה כי תלויה ועומדת נגד הנתבעת תביעה לסילוק יד, ת"א 12718-06-26, "בגין אותה מסכת עובדתית". תקנות 24 ו-25(ב) לתקנות סדר הדין האזרחי, התשע"ט-2018 מחייבות לכלול בכתב תביעה אחד את כל העילות והסעדים בשל אותה מסכת עובדתית, זולת אם ניתנה רשות לפיצול, ורשות כזו לא נטענה ולא הוצגה; ואף ההחלטה על איחוד הדיון בין ההליכים אין בה משום רשות בדיעבד. דין התביעה להימחק.</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2.</w:t>
      </w:r>
      <w:r>
        <w:rPr>
          <w:rFonts w:ascii="David" w:cs="David" w:eastAsia="David" w:hAnsi="David"/>
          <w:sz w:val="24"/>
          <w:szCs w:val="24"/>
          <w:rtl/>
        </w:rPr>
        <w:tab/>
      </w:r>
      <w:r>
        <w:rPr>
          <w:rFonts w:ascii="David" w:cs="David" w:eastAsia="David" w:hAnsi="David"/>
          <w:b/>
          <w:bCs/>
          <w:i w:val="false"/>
          <w:iCs w:val="false"/>
          <w:sz w:val="24"/>
          <w:szCs w:val="24"/>
          <w:rtl/>
        </w:rPr>
        <w:t xml:space="preserve">אי-צירוף מסמכים.</w:t>
      </w:r>
      <w:r>
        <w:rPr>
          <w:rFonts w:ascii="David" w:cs="David" w:eastAsia="David" w:hAnsi="David"/>
          <w:b w:val="false"/>
          <w:bCs w:val="false"/>
          <w:i w:val="false"/>
          <w:iCs w:val="false"/>
          <w:sz w:val="24"/>
          <w:szCs w:val="24"/>
          <w:rtl/>
        </w:rPr>
        <w:t xml:space="preserve"> התביעה נשענת על טענה אחת: כי ועדה מוסמכת שללה מן הנתבעת מעמד של דיירת ממשיכה. ההחלטה עצמה לא צורפה, וכמוה גם ההתראות הנטענות בסעיף 2 לכתב התביעה, בניגוד לתקנה 79(א)(2).</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3.</w:t>
      </w:r>
      <w:r>
        <w:rPr>
          <w:rFonts w:ascii="David" w:cs="David" w:eastAsia="David" w:hAnsi="David"/>
          <w:sz w:val="24"/>
          <w:szCs w:val="24"/>
          <w:rtl/>
        </w:rPr>
        <w:tab/>
      </w:r>
      <w:r>
        <w:rPr>
          <w:rFonts w:ascii="David" w:cs="David" w:eastAsia="David" w:hAnsi="David"/>
          <w:b/>
          <w:bCs/>
          <w:i w:val="false"/>
          <w:iCs w:val="false"/>
          <w:sz w:val="24"/>
          <w:szCs w:val="24"/>
          <w:rtl/>
        </w:rPr>
        <w:t xml:space="preserve">הנתבעת אינה פולשת.</w:t>
      </w:r>
      <w:r>
        <w:rPr>
          <w:rFonts w:ascii="David" w:cs="David" w:eastAsia="David" w:hAnsi="David"/>
          <w:b w:val="false"/>
          <w:bCs w:val="false"/>
          <w:i w:val="false"/>
          <w:iCs w:val="false"/>
          <w:sz w:val="24"/>
          <w:szCs w:val="24"/>
          <w:rtl/>
        </w:rPr>
        <w:t xml:space="preserve"> היא בתו של הדייר החוזי, מר מנבר וונדימאג'ן ז"ל, שהתגורר בדירה מיום 8.8.1996 ועד לפטירתו ביום 16.2.2024. הנתבעת גדלה בדירה והתגוררה בה מילדותה וברציפות עד לשנת 2019, שבה שכרה דירה בסמוך על רקע מתח שנתגלע בינה לבין אביה; בסמוך לחודש דצמבר 2023 שבה אל הדירה כדי לסעוד אותו עד לפטירתו, ומאז היא מתגוררת בה, והדירה היא ביתה היחיד. מי שאלה נסיבות כניסתה אינה "פולשת", ולכל היותר עסקינן בבת-רשות. לחלופין תטען הנתבעת כי היא "דייר ממשיך" כהגדרתו בסעיף 1 לחוק זכויות הדייר בדיור הציבורי, התשנ"ח-1998, וכי מתקיים בה התנאי שהתובעת עצמה הציבה בראש טבלת ביקורי המעגל שבנספח 4: "ביקורי מעגל לדייר הממשיך מתאריך 1.8.09 ועד מועד הבקשה ולא פחות מ-4 שנות מגורים רצופות" - שהרי הנתבעת התגוררה בדירה מיום 1.8.2009 וברציפות כעשר שנים. מכל מקום, שאלת מגוריה לא נבדקה מעולם ומקומה להתברר בראיות.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4.</w:t>
      </w:r>
      <w:r>
        <w:rPr>
          <w:rFonts w:ascii="David" w:cs="David" w:eastAsia="David" w:hAnsi="David"/>
          <w:sz w:val="24"/>
          <w:szCs w:val="24"/>
          <w:rtl/>
        </w:rPr>
        <w:tab/>
      </w:r>
      <w:r>
        <w:rPr>
          <w:rFonts w:ascii="David" w:cs="David" w:eastAsia="David" w:hAnsi="David"/>
          <w:b/>
          <w:bCs/>
          <w:i w:val="false"/>
          <w:iCs w:val="false"/>
          <w:sz w:val="24"/>
          <w:szCs w:val="24"/>
          <w:rtl/>
        </w:rPr>
        <w:t xml:space="preserve">גם לשיטת התובעת אין מדובר בהחזקה שלא כדין.</w:t>
      </w:r>
      <w:r>
        <w:rPr>
          <w:rFonts w:ascii="David" w:cs="David" w:eastAsia="David" w:hAnsi="David"/>
          <w:b w:val="false"/>
          <w:bCs w:val="false"/>
          <w:i w:val="false"/>
          <w:iCs w:val="false"/>
          <w:sz w:val="24"/>
          <w:szCs w:val="24"/>
          <w:rtl/>
        </w:rPr>
        <w:t xml:space="preserve"> סעיף 3(א) לחוק אינו הופך דייר ממשיך שאינו זכאי עצמאית לפולש, אלא מחייבו לפנות את הדירה "בתוך תשעה חודשים מהמועד שבו נמסרה לו הודעה מאת משרד הבינוי והשיכון, בדבר אי-זכאותו לדירה ציבורית לפי הכללים". הודעה כזו לא נמסרה ואיננה בין נספחי כתב התביעה; כל עוד לא נמסרה, ובמשך תשעה חודשים לאחריה, החזקת הנתבעת כדין ולא קמה עילה לדמי שימוש ראויים.</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5.</w:t>
      </w:r>
      <w:r>
        <w:rPr>
          <w:rFonts w:ascii="David" w:cs="David" w:eastAsia="David" w:hAnsi="David"/>
          <w:sz w:val="24"/>
          <w:szCs w:val="24"/>
          <w:rtl/>
        </w:rPr>
        <w:tab/>
      </w:r>
      <w:r>
        <w:rPr>
          <w:rFonts w:ascii="David" w:cs="David" w:eastAsia="David" w:hAnsi="David"/>
          <w:b/>
          <w:bCs/>
          <w:i w:val="false"/>
          <w:iCs w:val="false"/>
          <w:sz w:val="24"/>
          <w:szCs w:val="24"/>
          <w:rtl/>
        </w:rPr>
        <w:t xml:space="preserve">התובעת עצמה לא ראתה בנתבעת פולשת.</w:t>
      </w:r>
      <w:r>
        <w:rPr>
          <w:rFonts w:ascii="David" w:cs="David" w:eastAsia="David" w:hAnsi="David"/>
          <w:b w:val="false"/>
          <w:bCs w:val="false"/>
          <w:i w:val="false"/>
          <w:iCs w:val="false"/>
          <w:sz w:val="24"/>
          <w:szCs w:val="24"/>
          <w:rtl/>
        </w:rPr>
        <w:t xml:space="preserve"> ביום 3.7.2024, בידיעה על הפטירה, רשמה נציגתה כי סטטוס החוזה "פעיל", שכר הדירה נטו 221.19 ₪, הנחת המדרוג בתוקף עד 30.9.2024 ו"חוב בתביעה" 0; והתובעת אף גבתה תשלומים בפועל. אף לא נמסרה הודעה בכתב על סיום השכירות, כנדרש בסעיף 2 לחוזה, ולא נטענה.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6.</w:t>
      </w:r>
      <w:r>
        <w:rPr>
          <w:rFonts w:ascii="David" w:cs="David" w:eastAsia="David" w:hAnsi="David"/>
          <w:sz w:val="24"/>
          <w:szCs w:val="24"/>
          <w:rtl/>
        </w:rPr>
        <w:tab/>
      </w:r>
      <w:r>
        <w:rPr>
          <w:rFonts w:ascii="David" w:cs="David" w:eastAsia="David" w:hAnsi="David"/>
          <w:b/>
          <w:bCs/>
          <w:i w:val="false"/>
          <w:iCs w:val="false"/>
          <w:sz w:val="24"/>
          <w:szCs w:val="24"/>
          <w:rtl/>
        </w:rPr>
        <w:t xml:space="preserve">ההחלטה בטלה והסכום לא הוכח.</w:t>
      </w:r>
      <w:r>
        <w:rPr>
          <w:rFonts w:ascii="David" w:cs="David" w:eastAsia="David" w:hAnsi="David"/>
          <w:b w:val="false"/>
          <w:bCs w:val="false"/>
          <w:i w:val="false"/>
          <w:iCs w:val="false"/>
          <w:sz w:val="24"/>
          <w:szCs w:val="24"/>
          <w:rtl/>
        </w:rPr>
        <w:t xml:space="preserve"> ההחלטה ניתנה ללא הנמקה, ללא שימוע וללא המצאה, על יסוד תשתית הסותרת את עצמה, ומבלי שנבחנה זכאותה העצמאית של הנתבעת; הנתבעת תוקפת אותה בתקיפה עקיפה. אשר לסכום, לא הוצגה חוות דעת, והחיוב החודשי שגזרה התובעת לעצמה גבוה פי שלושה עשר משכר הדירה נטו שהיא עצמה קבעה.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7.</w:t>
      </w:r>
      <w:r>
        <w:rPr>
          <w:rFonts w:ascii="David" w:cs="David" w:eastAsia="David" w:hAnsi="David"/>
          <w:sz w:val="24"/>
          <w:szCs w:val="24"/>
          <w:rtl/>
        </w:rPr>
        <w:tab/>
      </w:r>
      <w:r>
        <w:rPr>
          <w:rFonts w:ascii="David" w:cs="David" w:eastAsia="David" w:hAnsi="David"/>
          <w:b/>
          <w:bCs/>
          <w:i w:val="false"/>
          <w:iCs w:val="false"/>
          <w:sz w:val="24"/>
          <w:szCs w:val="24"/>
          <w:rtl/>
        </w:rPr>
        <w:t xml:space="preserve">הסעד המבוקש.</w:t>
      </w:r>
      <w:r>
        <w:rPr>
          <w:rFonts w:ascii="David" w:cs="David" w:eastAsia="David" w:hAnsi="David"/>
          <w:b w:val="false"/>
          <w:bCs w:val="false"/>
          <w:i w:val="false"/>
          <w:iCs w:val="false"/>
          <w:sz w:val="24"/>
          <w:szCs w:val="24"/>
          <w:rtl/>
        </w:rPr>
        <w:t xml:space="preserve"> דין התביעה להידחות. לחלופין, ולנוכח היות הנתבעת נכה בשיעור 100% שאינה עובדת, מוכרת ברווחה וסמוכה על קצבת המוסד לביטוח לאומי, מתבקש פטור מהשבה לפי סעיף 2 לחוק עשיית עושר ולא במשפט, התשל"ט-1979, או העמדת החיוב על דמי השכירות המסובסדים בניכוי התשלומים ששולמו.</w:t>
      </w:r>
    </w:p>
    <w:p>
      <w:pPr>
        <w:keepNext/>
        <w:keepLines/>
        <w:bidi/>
        <w:spacing w:after="100" w:before="140" w:line="360" w:lineRule="auto"/>
        <w:jc w:val="center"/>
      </w:pPr>
      <w:r>
        <w:rPr>
          <w:rFonts w:ascii="David" w:cs="David" w:eastAsia="David" w:hAnsi="David"/>
          <w:b/>
          <w:bCs/>
          <w:i w:val="false"/>
          <w:iCs w:val="false"/>
          <w:sz w:val="26"/>
          <w:szCs w:val="26"/>
          <w:u w:val="single"/>
          <w:rtl/>
        </w:rPr>
        <w:t xml:space="preserve">חלק שלישי - טיעון עובדתי</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8.</w:t>
      </w:r>
      <w:r>
        <w:rPr>
          <w:rFonts w:ascii="David" w:cs="David" w:eastAsia="David" w:hAnsi="David"/>
          <w:sz w:val="24"/>
          <w:szCs w:val="24"/>
          <w:rtl/>
        </w:rPr>
        <w:tab/>
      </w:r>
      <w:r>
        <w:rPr>
          <w:rFonts w:ascii="David" w:cs="David" w:eastAsia="David" w:hAnsi="David"/>
          <w:b/>
          <w:bCs/>
          <w:i w:val="false"/>
          <w:iCs w:val="false"/>
          <w:sz w:val="24"/>
          <w:szCs w:val="24"/>
          <w:rtl/>
        </w:rPr>
        <w:t xml:space="preserve">הרקע.</w:t>
      </w:r>
      <w:r>
        <w:rPr>
          <w:rFonts w:ascii="David" w:cs="David" w:eastAsia="David" w:hAnsi="David"/>
          <w:b w:val="false"/>
          <w:bCs w:val="false"/>
          <w:i w:val="false"/>
          <w:iCs w:val="false"/>
          <w:sz w:val="24"/>
          <w:szCs w:val="24"/>
          <w:rtl/>
        </w:rPr>
        <w:t xml:space="preserve"> הדירה ברח' צה"ל 72/6 בפתח תקווה הושכרה לאביה המנוח של הנתבעת על פי חוזה מיום 29.8.1996, ומועד האכלוס הרשום בכל טופסי התובעת הוא 8.8.1996. המנוח, יליד 1943, עלה לישראל מאתיופיה בשנת 1991 ונפטר ביום 16.2.2024. תעודת הפטירה, שהתובעת עצמה צירפה כנספח 3, נשלחה ביום 10.3.2024 מלשכת רשות האוכלוסין בפתח תקווה אל הנתבעת, בכתובת הדירה.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9.</w:t>
      </w:r>
      <w:r>
        <w:rPr>
          <w:rFonts w:ascii="David" w:cs="David" w:eastAsia="David" w:hAnsi="David"/>
          <w:sz w:val="24"/>
          <w:szCs w:val="24"/>
          <w:rtl/>
        </w:rPr>
        <w:tab/>
      </w:r>
      <w:r>
        <w:rPr>
          <w:rFonts w:ascii="David" w:cs="David" w:eastAsia="David" w:hAnsi="David"/>
          <w:b/>
          <w:bCs/>
          <w:i w:val="false"/>
          <w:iCs w:val="false"/>
          <w:sz w:val="24"/>
          <w:szCs w:val="24"/>
          <w:rtl/>
        </w:rPr>
        <w:t xml:space="preserve">נסיבות מגוריה של הנתבעת.</w:t>
      </w:r>
      <w:r>
        <w:rPr>
          <w:rFonts w:ascii="David" w:cs="David" w:eastAsia="David" w:hAnsi="David"/>
          <w:b w:val="false"/>
          <w:bCs w:val="false"/>
          <w:i w:val="false"/>
          <w:iCs w:val="false"/>
          <w:sz w:val="24"/>
          <w:szCs w:val="24"/>
          <w:rtl/>
        </w:rPr>
        <w:t xml:space="preserve"> הנתבעת גדלה בדירה והתגוררה בה מילדותה, לרבות ביום 1.8.2009 וברציפות עד לשנת 2019. באותה שנה, על רקע מתח וקושי שנתגלעו בינה לבין אביה, שכרה דירה בסמוך כדי שיהיה בידה מקום לינה נפרד; היא לא נטשה אותו ולא חדלה מלבקרו, אלא הגיעה אליו בתדירות גבוהה, הכינה עבורו אוכל ודאגה לצרכיו. בסמוך לחודש דצמבר 2023, כשבעה חודשים בטרם פקע חוזה השכירות שלה, עזבה את הדירה השכורה ועברה לשהות לצד אביה ולסעוד אותו עד לפטירתו; ומאז היא מתגוררת בדירה ברציפות. הדירה היא ביתה היחיד; אין לה דירה בבעלותה ומעולם לא היתה לה. ודוק, בטבלת ביקורי המעגל שבנספח 4 נרשם "לא" ביחס לדייר ממשיך בכל אחת מן השנים 2010 עד 2019, עשור שלם שבו התגוררה הנתבעת בדירה, וזאת מבלי שנשאלה, זומנה או נשמעה ולו פעם אחת.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10.</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ביום 3.7.2024, כארבעה חודשים וחצי לאחר הפטירה, ערכה נציגת התובעת ביקור בדירה ורשמה בטופס "סיכום ביקור" (עמ' 38 לכתב התביעה): </w:t>
      </w:r>
      <w:r>
        <w:rPr>
          <w:rFonts w:ascii="David" w:cs="David" w:eastAsia="David" w:hAnsi="David"/>
          <w:b/>
          <w:bCs/>
          <w:i w:val="false"/>
          <w:iCs w:val="false"/>
          <w:sz w:val="24"/>
          <w:szCs w:val="24"/>
          <w:rtl/>
        </w:rPr>
        <w:t xml:space="preserve">"דייר חוזי נפטר, ביקור עם הבת עדן טדלה"</w:t>
      </w:r>
      <w:r>
        <w:rPr>
          <w:rFonts w:ascii="David" w:cs="David" w:eastAsia="David" w:hAnsi="David"/>
          <w:b w:val="false"/>
          <w:bCs w:val="false"/>
          <w:i w:val="false"/>
          <w:iCs w:val="false"/>
          <w:sz w:val="24"/>
          <w:szCs w:val="24"/>
          <w:rtl/>
        </w:rPr>
        <w:t xml:space="preserve">. "עדן" הוא שמה העברי של הנתבעת, והביקור נערך עמה בדירה. בהתאם לכך אף סומן בטבלה שבנספח 4, בשורת אותו ביקור, כי דייר ממשיך מתגורר בדירה. באותו טופס נרשם: </w:t>
      </w:r>
      <w:r>
        <w:rPr>
          <w:rFonts w:ascii="David" w:cs="David" w:eastAsia="David" w:hAnsi="David"/>
          <w:b/>
          <w:bCs/>
          <w:i w:val="false"/>
          <w:iCs w:val="false"/>
          <w:sz w:val="24"/>
          <w:szCs w:val="24"/>
          <w:rtl/>
        </w:rPr>
        <w:t xml:space="preserve">"סטטוס חוזה: פעיל"</w:t>
      </w:r>
      <w:r>
        <w:rPr>
          <w:rFonts w:ascii="David" w:cs="David" w:eastAsia="David" w:hAnsi="David"/>
          <w:b w:val="false"/>
          <w:bCs w:val="false"/>
          <w:i w:val="false"/>
          <w:iCs w:val="false"/>
          <w:sz w:val="24"/>
          <w:szCs w:val="24"/>
          <w:rtl/>
        </w:rPr>
        <w:t xml:space="preserve">; "שימוש בפועל: מגורים"; </w:t>
      </w:r>
      <w:r>
        <w:rPr>
          <w:rFonts w:ascii="David" w:cs="David" w:eastAsia="David" w:hAnsi="David"/>
          <w:b/>
          <w:bCs/>
          <w:i w:val="false"/>
          <w:iCs w:val="false"/>
          <w:sz w:val="24"/>
          <w:szCs w:val="24"/>
          <w:rtl/>
        </w:rPr>
        <w:t xml:space="preserve">"שכ"ד נטו: 221.19"</w:t>
      </w:r>
      <w:r>
        <w:rPr>
          <w:rFonts w:ascii="David" w:cs="David" w:eastAsia="David" w:hAnsi="David"/>
          <w:b w:val="false"/>
          <w:bCs w:val="false"/>
          <w:i w:val="false"/>
          <w:iCs w:val="false"/>
          <w:sz w:val="24"/>
          <w:szCs w:val="24"/>
          <w:rtl/>
        </w:rPr>
        <w:t xml:space="preserve">; </w:t>
      </w:r>
      <w:r>
        <w:rPr>
          <w:rFonts w:ascii="David" w:cs="David" w:eastAsia="David" w:hAnsi="David"/>
          <w:b/>
          <w:bCs/>
          <w:i w:val="false"/>
          <w:iCs w:val="false"/>
          <w:sz w:val="24"/>
          <w:szCs w:val="24"/>
          <w:rtl/>
        </w:rPr>
        <w:t xml:space="preserve">"מועד סיום הנחה: 30/09/2024"</w:t>
      </w:r>
      <w:r>
        <w:rPr>
          <w:rFonts w:ascii="David" w:cs="David" w:eastAsia="David" w:hAnsi="David"/>
          <w:b w:val="false"/>
          <w:bCs w:val="false"/>
          <w:i w:val="false"/>
          <w:iCs w:val="false"/>
          <w:sz w:val="24"/>
          <w:szCs w:val="24"/>
          <w:rtl/>
        </w:rPr>
        <w:t xml:space="preserve">; </w:t>
      </w:r>
      <w:r>
        <w:rPr>
          <w:rFonts w:ascii="David" w:cs="David" w:eastAsia="David" w:hAnsi="David"/>
          <w:b/>
          <w:bCs/>
          <w:i w:val="false"/>
          <w:iCs w:val="false"/>
          <w:sz w:val="24"/>
          <w:szCs w:val="24"/>
          <w:rtl/>
        </w:rPr>
        <w:t xml:space="preserve">"חוב בתביעה: 0"</w:t>
      </w:r>
      <w:r>
        <w:rPr>
          <w:rFonts w:ascii="David" w:cs="David" w:eastAsia="David" w:hAnsi="David"/>
          <w:b w:val="false"/>
          <w:bCs w:val="false"/>
          <w:i w:val="false"/>
          <w:iCs w:val="false"/>
          <w:sz w:val="24"/>
          <w:szCs w:val="24"/>
          <w:rtl/>
        </w:rPr>
        <w:t xml:space="preserve">.</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11.</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ביום 23.7.2024 הנפיקה התובעת קבלה על סך 1,355.71 ₪ בגין </w:t>
      </w:r>
      <w:r>
        <w:rPr>
          <w:rFonts w:ascii="David" w:cs="David" w:eastAsia="David" w:hAnsi="David"/>
          <w:b/>
          <w:bCs/>
          <w:i w:val="false"/>
          <w:iCs w:val="false"/>
          <w:sz w:val="24"/>
          <w:szCs w:val="24"/>
          <w:rtl/>
        </w:rPr>
        <w:t xml:space="preserve">שכר דירה</w:t>
      </w:r>
      <w:r>
        <w:rPr>
          <w:rFonts w:ascii="David" w:cs="David" w:eastAsia="David" w:hAnsi="David"/>
          <w:b w:val="false"/>
          <w:bCs w:val="false"/>
          <w:i w:val="false"/>
          <w:iCs w:val="false"/>
          <w:sz w:val="24"/>
          <w:szCs w:val="24"/>
          <w:rtl/>
        </w:rPr>
        <w:t xml:space="preserve"> (קוד 101) לחודשים 02/2024 עד 07/2024, על שם הדייר החוזי המנוח ולחשבונו, כחמישה חודשים לאחר פטירתו, והסכום שולם (נספח א'). ואולם ביום 17.9.2024, לאחר החלטת הוועדה, הוציאה שובר על שם הנתבעת ובו נדרשה לשלם בגין אותם חודשים בתוספת שניים סך 21,730.81 ₪ תחת הכותרת </w:t>
      </w:r>
      <w:r>
        <w:rPr>
          <w:rFonts w:ascii="David" w:cs="David" w:eastAsia="David" w:hAnsi="David"/>
          <w:b/>
          <w:bCs/>
          <w:i w:val="false"/>
          <w:iCs w:val="false"/>
          <w:sz w:val="24"/>
          <w:szCs w:val="24"/>
          <w:rtl/>
        </w:rPr>
        <w:t xml:space="preserve">"דמי שמוש ראויים"</w:t>
      </w:r>
      <w:r>
        <w:rPr>
          <w:rFonts w:ascii="David" w:cs="David" w:eastAsia="David" w:hAnsi="David"/>
          <w:b w:val="false"/>
          <w:bCs w:val="false"/>
          <w:i w:val="false"/>
          <w:iCs w:val="false"/>
          <w:sz w:val="24"/>
          <w:szCs w:val="24"/>
          <w:rtl/>
        </w:rPr>
        <w:t xml:space="preserve"> (קוד 103), כך שהדירה חויבה פעמיים (נספח ב'). ביום 27.3.2025 שילמה הנתבעת 2,911.01 ₪ נוספים על פי שובר שהתובעת שלחה אליה (נספח ג'). אף לפי הכרטסת, מספר חודשי אי-התשלום הוא 12 מתוך למעלה מעשרים וארבעה.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12.</w:t>
      </w:r>
      <w:r>
        <w:rPr>
          <w:rFonts w:ascii="David" w:cs="David" w:eastAsia="David" w:hAnsi="David"/>
          <w:sz w:val="24"/>
          <w:szCs w:val="24"/>
          <w:rtl/>
        </w:rPr>
        <w:tab/>
      </w:r>
      <w:r>
        <w:rPr>
          <w:rFonts w:ascii="David" w:cs="David" w:eastAsia="David" w:hAnsi="David"/>
          <w:b/>
          <w:bCs/>
          <w:i w:val="false"/>
          <w:iCs w:val="false"/>
          <w:sz w:val="24"/>
          <w:szCs w:val="24"/>
          <w:rtl/>
        </w:rPr>
        <w:t xml:space="preserve">פגמי הטופס.</w:t>
      </w:r>
      <w:r>
        <w:rPr>
          <w:rFonts w:ascii="David" w:cs="David" w:eastAsia="David" w:hAnsi="David"/>
          <w:b w:val="false"/>
          <w:bCs w:val="false"/>
          <w:i w:val="false"/>
          <w:iCs w:val="false"/>
          <w:sz w:val="24"/>
          <w:szCs w:val="24"/>
          <w:rtl/>
        </w:rPr>
        <w:t xml:space="preserve"> נספח 4 אינו החלטה אלא טופס שרובו לא מולא: הפרק "נימוקים והמלצות" ריק; הפרק "החלטת הוועדה המחוזית" נושא שתי שורות בכתב יד שאינן קריאות בעותק שהומצא ואין בהן דיון בתנאי החוק; השדה "מצ"ב החלטת ועדה מיום ___" ריק והמסמך שאליו הוא מפנה לא הוצג; והרובריקה שיועדה לסגן מנהל מרכז השירות, שבה אמורים היו להירשם אישורי משרד הבינוי והשיכון והממצאים, נותרה ריקה בכל שורותיה, בלא שם ובלא חתימה - ובכללה השדות "חסר דירה" ו"מומש סיוע בשכ"ד", שבהם נבחנת זכאותה העצמאית של הנתבעת לדירה ציבורית לפי הכללים, היא החלופה שבסעיף 3(ב) לחוק, אשר בהתקיימה רואים את הדייר הממשיך כמי שבא בנעלי הזכאי לכל דבר ועניין. משכך, הקביעה שבסעיף 19 לכתב התביעה, ולפיה לא עמדה הנתבעת בתבחינים, אינה קביעה אלא הנחה. חובת ההנמקה קבועה בסעיף 2 לחוק לתיקון סדרי המינהל (החלטות והנמקות), התשי"ט-1958; ומכל מקום, ועדה פנימית של התובעת אינה משרד הבינוי והשיכון.</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13.</w:t>
      </w:r>
      <w:r>
        <w:rPr>
          <w:rFonts w:ascii="David" w:cs="David" w:eastAsia="David" w:hAnsi="David"/>
          <w:sz w:val="24"/>
          <w:szCs w:val="24"/>
          <w:rtl/>
        </w:rPr>
        <w:tab/>
      </w:r>
      <w:r>
        <w:rPr>
          <w:rFonts w:ascii="David" w:cs="David" w:eastAsia="David" w:hAnsi="David"/>
          <w:b/>
          <w:bCs/>
          <w:i w:val="false"/>
          <w:iCs w:val="false"/>
          <w:sz w:val="24"/>
          <w:szCs w:val="24"/>
          <w:rtl/>
        </w:rPr>
        <w:t xml:space="preserve">התשתית שעליה נשענת ההחלטה סותרת את עצמה.</w:t>
      </w:r>
      <w:r>
        <w:rPr>
          <w:rFonts w:ascii="David" w:cs="David" w:eastAsia="David" w:hAnsi="David"/>
          <w:b w:val="false"/>
          <w:bCs w:val="false"/>
          <w:i w:val="false"/>
          <w:iCs w:val="false"/>
          <w:sz w:val="24"/>
          <w:szCs w:val="24"/>
          <w:rtl/>
        </w:rPr>
        <w:t xml:space="preserve"> מסקנת הטופס נסמכת כולה על טבלת ביקורי המעגל שערכה התובעת לעצמה (עמ' 42), וזו אינה יכולה לשאתה. ביחס לביקור מיום 3.7.2024 נרשם כי הדייר החוזי "גר: כן", ארבעה חודשים וחצי לאחר פטירתו. ולגבי הביקור מיום 18.12.2023, האחרון בחיי המנוח, נרשם בטבלה אצל הדייר הממשיך "לא" - בעוד שדוח הביקור לאותו מועד ממש (עמ' 37) קובע: </w:t>
      </w:r>
      <w:r>
        <w:rPr>
          <w:rFonts w:ascii="David" w:cs="David" w:eastAsia="David" w:hAnsi="David"/>
          <w:b/>
          <w:bCs/>
          <w:i w:val="false"/>
          <w:iCs w:val="false"/>
          <w:sz w:val="24"/>
          <w:szCs w:val="24"/>
          <w:rtl/>
        </w:rPr>
        <w:t xml:space="preserve">"נקבע מספר פעמים ביקור בית, הדייר אומר אני אהיה בבית, לא נצא"</w:t>
      </w:r>
      <w:r>
        <w:rPr>
          <w:rFonts w:ascii="David" w:cs="David" w:eastAsia="David" w:hAnsi="David"/>
          <w:b w:val="false"/>
          <w:bCs w:val="false"/>
          <w:i w:val="false"/>
          <w:iCs w:val="false"/>
          <w:sz w:val="24"/>
          <w:szCs w:val="24"/>
          <w:rtl/>
        </w:rPr>
        <w:t xml:space="preserve"> [כך במקור]. ואף על פי כן נושא אותו דוח דירוגי מצב מפורטים לכל חדרי הדירה, שלושה סימוני אישור ובהם "אני מאשר בחתימתי את כל הנתונים שבסיכום זה לאחר שקראתי אותו והבנתי אותו", וחותמת </w:t>
      </w:r>
      <w:r>
        <w:rPr>
          <w:rFonts w:ascii="David" w:cs="David" w:eastAsia="David" w:hAnsi="David"/>
          <w:b/>
          <w:bCs/>
          <w:i w:val="false"/>
          <w:iCs w:val="false"/>
          <w:sz w:val="24"/>
          <w:szCs w:val="24"/>
          <w:rtl/>
        </w:rPr>
        <w:t xml:space="preserve">"מסרב לחתום"</w:t>
      </w:r>
      <w:r>
        <w:rPr>
          <w:rFonts w:ascii="David" w:cs="David" w:eastAsia="David" w:hAnsi="David"/>
          <w:b w:val="false"/>
          <w:bCs w:val="false"/>
          <w:i w:val="false"/>
          <w:iCs w:val="false"/>
          <w:sz w:val="24"/>
          <w:szCs w:val="24"/>
          <w:rtl/>
        </w:rPr>
        <w:t xml:space="preserve">. קרי, קביעה פוזיטיבית, ובדיקה פנימית של הדירה כולה, על יסוד ביקור שלא נערך. והמוקדם שברישומי הטבלה הוא מיום 11.8.2010, כך שביחס ליום 1.8.2009, נקודת המוצא של אמת המידה, אין בה דבר.</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14.</w:t>
      </w:r>
      <w:r>
        <w:rPr>
          <w:rFonts w:ascii="David" w:cs="David" w:eastAsia="David" w:hAnsi="David"/>
          <w:sz w:val="24"/>
          <w:szCs w:val="24"/>
          <w:rtl/>
        </w:rPr>
        <w:tab/>
      </w:r>
      <w:r>
        <w:rPr>
          <w:rFonts w:ascii="David" w:cs="David" w:eastAsia="David" w:hAnsi="David"/>
          <w:b/>
          <w:bCs/>
          <w:i w:val="false"/>
          <w:iCs w:val="false"/>
          <w:sz w:val="24"/>
          <w:szCs w:val="24"/>
          <w:rtl/>
        </w:rPr>
        <w:t xml:space="preserve">תצהיר המנוח מיום 10.11.2021.</w:t>
      </w:r>
      <w:r>
        <w:rPr>
          <w:rFonts w:ascii="David" w:cs="David" w:eastAsia="David" w:hAnsi="David"/>
          <w:b w:val="false"/>
          <w:bCs w:val="false"/>
          <w:i w:val="false"/>
          <w:iCs w:val="false"/>
          <w:sz w:val="24"/>
          <w:szCs w:val="24"/>
          <w:rtl/>
        </w:rPr>
        <w:t xml:space="preserve"> הנטען בסעיף 16 לכתב התביעה נסמך על טופס מודפס (עמ' 35), שעליו החתימה התובעת את המנוח בביקור מטעמה. המנוח, יליד 1943, עלה מאתיופיה בשנת 1991 והיה אז כבן שבעים ושמונה; הוא דובר אמהרית, לא ידע קרוא וכתוב ולא שלט בעברית. מי שהחתימה אותו היא גב' נטלי לוגסי, מנהלת תיק הלקוח מטעם התובעת, שאינה דוברת אמהרית; ובדוח הביקור שערכה (עמ' 33) נרשם "ביקור בוצע ב 10/11/21", הוא יום החתימה. ואשר לפרק "אישור חתימה" שבתחתית הטופס, נוסחו המודפס מציע שתי חלופות, "לאחר שקרא/ה אותה" ו"הקראתי לו/ה", ואיש לא סימן איזו מהן התקיימה; אין בטופס זכר למתורגמן, ואין בו כל אינדיקציה שתוכנו הובא לידיעת המנוח בשפה שהבין. גוף הטופס כולו מודפס מראש, והמנוח לא הוסיף בו דבר מלבד חתימתו והתאריך. מסמך שהוחתם כך על אדם שאינו יודע קרוא וכתוב, מבלי שהוכח כי הוסבר לו בשפתו, אין ליתן בו משקל; הנתבעת שומרת על זכותה להתנגד להגשתו ולעתור להוצאתו מן התיק. וסעיף 3 לטופס מגלה את תכליתו: כי ההצהרה "לא תאפשר לקרובי לטעון כי גרו איתי בדירה, לרבות לצורך הוכחת משך מגורים בדירה כדי להיחשב 'דיירים ממשיכים'". ברם, המעמד שבחוק זכויות הדייר בדיור הציבורי קם לנתבעת מכוח דין, והיא לא היתה צד לאותו טופס. זכות סטטוטורית של מי שאינו חתום על הטופס אינה ניתנת לוויתור בידי החותם, ולו מטעמי תקנת הציבור שבסעיף 30 לחוק החוזים (חלק כללי), התשל"ג-1973. ומכל מקום עסקינן בטופס אחד ממועד אחד, שאין בו כדי ללמד על התקופה שקדמה לו או על זו שלאחריה.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15.</w:t>
      </w:r>
      <w:r>
        <w:rPr>
          <w:rFonts w:ascii="David" w:cs="David" w:eastAsia="David" w:hAnsi="David"/>
          <w:sz w:val="24"/>
          <w:szCs w:val="24"/>
          <w:rtl/>
        </w:rPr>
        <w:tab/>
      </w:r>
      <w:r>
        <w:rPr>
          <w:rFonts w:ascii="David" w:cs="David" w:eastAsia="David" w:hAnsi="David"/>
          <w:b/>
          <w:bCs/>
          <w:i w:val="false"/>
          <w:iCs w:val="false"/>
          <w:sz w:val="24"/>
          <w:szCs w:val="24"/>
          <w:rtl/>
        </w:rPr>
        <w:t xml:space="preserve">חומר הרווחה.</w:t>
      </w:r>
      <w:r>
        <w:rPr>
          <w:rFonts w:ascii="David" w:cs="David" w:eastAsia="David" w:hAnsi="David"/>
          <w:b w:val="false"/>
          <w:bCs w:val="false"/>
          <w:i w:val="false"/>
          <w:iCs w:val="false"/>
          <w:sz w:val="24"/>
          <w:szCs w:val="24"/>
          <w:rtl/>
        </w:rPr>
        <w:t xml:space="preserve"> בחודש יולי 2026 פנה האגף לשירותים חברתיים בעיריית פתח תקווה במכתב שעניינו הנתבעת (נספח ה'), המוכרת באותו אגף כנתמכת (נספח ו'). נמסר בו כי הנתבעת "היתה מוכרת ברווחה לאורך שנים", וכי היא "בת 42 רווקה ללא ילדים מתמודדת עם נכות נפשית ופיברומיאלגיה, אינה עובדת ומקבלת קיצבה 100% נכות מביטוח לאומי" (נספח ז'); ובסיפתו: </w:t>
      </w:r>
      <w:r>
        <w:rPr>
          <w:rFonts w:ascii="David" w:cs="David" w:eastAsia="David" w:hAnsi="David"/>
          <w:b/>
          <w:bCs/>
          <w:i w:val="false"/>
          <w:iCs w:val="false"/>
          <w:sz w:val="24"/>
          <w:szCs w:val="24"/>
          <w:rtl/>
        </w:rPr>
        <w:t xml:space="preserve">"נודה על כל התחשבות במצבה והימנעות מהוצאתה מהדירה בה מתגוררת מזה 30 שנה"</w:t>
      </w:r>
      <w:r>
        <w:rPr>
          <w:rFonts w:ascii="David" w:cs="David" w:eastAsia="David" w:hAnsi="David"/>
          <w:b w:val="false"/>
          <w:bCs w:val="false"/>
          <w:i w:val="false"/>
          <w:iCs w:val="false"/>
          <w:sz w:val="24"/>
          <w:szCs w:val="24"/>
          <w:rtl/>
        </w:rPr>
        <w:t xml:space="preserve">. וכבר בשנת 2013 פנתה הנתבעת בכתב אל משרד הבינוי והשיכון בבקשה לפתרון דיור, ותיארה כי אין לה קורת גג משלה וכי היא מתגוררת בשכירות; הפנייה נמסרה באמצעות מרכז אלונים, גורם רווחה ושיקום, ואושרה בחותמתו ביום 28.6.2013 (נספח ד'). לחומר זה משקל ישיר לעניין הזכאות העצמאית לפי סעיף 3(ב) ולעניין ההשבה; ואולם התובעת החליטה בלא שפנתה לגורמי הרווחה, בנספח 4 אין לו כל התייחסות, ועניינה של הנתבעת לא הובא בפני הוועדה לבחינת מקרים חריגים.</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16.</w:t>
      </w:r>
      <w:r>
        <w:rPr>
          <w:rFonts w:ascii="David" w:cs="David" w:eastAsia="David" w:hAnsi="David"/>
          <w:sz w:val="24"/>
          <w:szCs w:val="24"/>
          <w:rtl/>
        </w:rPr>
        <w:tab/>
      </w:r>
      <w:r>
        <w:rPr>
          <w:rFonts w:ascii="David" w:cs="David" w:eastAsia="David" w:hAnsi="David"/>
          <w:b/>
          <w:bCs/>
          <w:i w:val="false"/>
          <w:iCs w:val="false"/>
          <w:sz w:val="24"/>
          <w:szCs w:val="24"/>
          <w:rtl/>
        </w:rPr>
        <w:t xml:space="preserve">גובה החיוב.</w:t>
      </w:r>
      <w:r>
        <w:rPr>
          <w:rFonts w:ascii="David" w:cs="David" w:eastAsia="David" w:hAnsi="David"/>
          <w:b w:val="false"/>
          <w:bCs w:val="false"/>
          <w:i w:val="false"/>
          <w:iCs w:val="false"/>
          <w:sz w:val="24"/>
          <w:szCs w:val="24"/>
          <w:rtl/>
        </w:rPr>
        <w:t xml:space="preserve"> התובעת עותרת לסך 36,533.38 ₪, בחיוב חודשי של 2,948.85 ₪, בעוד היא עצמה קבעה באותה תקופה כי שכר הדירה נטו הוא 221.19 ₪. לא הוצגה חוות דעת לשווי, והכרטסת אינה ראיה אלא רישום פנימי; ואת הריבית גובה התובעת מכוח חוזה השכירות, שאת קיומו היא מכחישה.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17.</w:t>
      </w:r>
      <w:r>
        <w:rPr>
          <w:rFonts w:ascii="David" w:cs="David" w:eastAsia="David" w:hAnsi="David"/>
          <w:sz w:val="24"/>
          <w:szCs w:val="24"/>
          <w:rtl/>
        </w:rPr>
        <w:tab/>
      </w:r>
      <w:r>
        <w:rPr>
          <w:rFonts w:ascii="David" w:cs="David" w:eastAsia="David" w:hAnsi="David"/>
          <w:b/>
          <w:bCs/>
          <w:i w:val="false"/>
          <w:iCs w:val="false"/>
          <w:sz w:val="24"/>
          <w:szCs w:val="24"/>
          <w:rtl/>
        </w:rPr>
        <w:t xml:space="preserve">התייחסות לסעיפי כתב התביעה.</w:t>
      </w:r>
      <w:r>
        <w:rPr>
          <w:rFonts w:ascii="David" w:cs="David" w:eastAsia="David" w:hAnsi="David"/>
          <w:b w:val="false"/>
          <w:bCs w:val="false"/>
          <w:i w:val="false"/>
          <w:iCs w:val="false"/>
          <w:sz w:val="24"/>
          <w:szCs w:val="24"/>
          <w:rtl/>
        </w:rPr>
        <w:t xml:space="preserve"> הנטען בסעיפים 1, 5, 6, 7, 8, 13, 14 ו-17 אינו מוכחש ככל שהוא נוגע לזהות הצדדים והדירה, לסמכות, להשכרת הדירה למנוח ולמועד פטירתו; ומוכחשת כל מסקנה משפטית הנגזרת מהם. הנטען בסעיפים 2, 9, 10, 15 ו-16 מוכחש: הנתבעת לא פלשה ואינה מחזיקה שלא כדין, ולא נשלחו אליה התראות. הנטען בסעיפים 3, 4, 11, 18, 19, 21, 22 ו-23 מוכחש מן הטעמים המפורטים לעיל; אין הכחשה לעצם קיומו של המסמך שבנספח 4, ומוכחש כי מדובר בהחלטה שנתקבלה כדין. סעיפים 12 ו-20 אינם טענות שבעובדה הטעונות הכחשה, ואשר לסעיף 20 יוער כי הדיור הציבורי אכן נועד למי שידה אינה משגת, ותכלית זו מכוונת אל הנתבעת.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18.</w:t>
      </w:r>
      <w:r>
        <w:rPr>
          <w:rFonts w:ascii="David" w:cs="David" w:eastAsia="David" w:hAnsi="David"/>
          <w:sz w:val="24"/>
          <w:szCs w:val="24"/>
          <w:rtl/>
        </w:rPr>
        <w:tab/>
      </w:r>
      <w:r>
        <w:rPr>
          <w:rFonts w:ascii="David" w:cs="David" w:eastAsia="David" w:hAnsi="David"/>
          <w:b/>
          <w:bCs/>
          <w:i w:val="false"/>
          <w:iCs w:val="false"/>
          <w:sz w:val="24"/>
          <w:szCs w:val="24"/>
          <w:rtl/>
        </w:rPr>
        <w:t xml:space="preserve">סעד.</w:t>
      </w:r>
      <w:r>
        <w:rPr>
          <w:rFonts w:ascii="David" w:cs="David" w:eastAsia="David" w:hAnsi="David"/>
          <w:b w:val="false"/>
          <w:bCs w:val="false"/>
          <w:i w:val="false"/>
          <w:iCs w:val="false"/>
          <w:sz w:val="24"/>
          <w:szCs w:val="24"/>
          <w:rtl/>
        </w:rPr>
        <w:t xml:space="preserve"> לאור כל האמור מתבקש בית המשפט הנכבד לדחות את התביעה; לחלופין, למוחקה מחמת פיצול סעדים; לחלופין, לקבוע כי לא קמה עילה לדמי שימוש ראויים כל עוד לא נמסרה הודעה לפי סעיף 3(א) ולא חלפו תשעה חודשים ממסירתה; ולחלופי חלופין, להעמיד את החיוב על דמי השכירות המסובסדים בניכוי התשלומים ששולמו. כן מתבקש לחייב את התובעת בהוצאות.</w:t>
      </w:r>
    </w:p>
    <w:p>
      <w:pPr>
        <w:bidi/>
        <w:spacing w:after="120" w:before="0" w:line="360" w:lineRule="auto"/>
        <w:jc w:val="both"/>
      </w:pPr>
      <w:r>
        <w:rPr>
          <w:rFonts w:ascii="David" w:cs="David" w:eastAsia="David" w:hAnsi="David"/>
          <w:b/>
          <w:bCs/>
          <w:i w:val="false"/>
          <w:iCs w:val="false"/>
          <w:sz w:val="24"/>
          <w:szCs w:val="24"/>
          <w:rtl/>
        </w:rPr>
        <w:t xml:space="preserve">נספחים:</w:t>
      </w:r>
      <w:r>
        <w:rPr>
          <w:rFonts w:ascii="David" w:cs="David" w:eastAsia="David" w:hAnsi="David"/>
          <w:b w:val="false"/>
          <w:bCs w:val="false"/>
          <w:i w:val="false"/>
          <w:iCs w:val="false"/>
          <w:sz w:val="24"/>
          <w:szCs w:val="24"/>
          <w:rtl/>
        </w:rPr>
        <w:t xml:space="preserve"> א' קבלת עמידר; ב' שובר עמידר; ג' אישור בנק יהב; ד' מכתב הנתבעת למשרד השיכון, 2013; ה' מכתב המחלקה לשירותים חברתיים, יולי 2026; ו' אישור הכרה כנתמכת; ז' אישור המוסד לביטוח לאומי; ח' בקשת ההכרה כדיירת ממשיכה; ט' ייפוי כוח.</w:t>
      </w:r>
    </w:p>
    <w:p>
      <w:pPr>
        <w:bidi/>
        <w:spacing w:after="0" w:before="0" w:line="360" w:lineRule="auto"/>
        <w:jc w:val="both"/>
      </w:pPr>
    </w:p>
    <w:p>
      <w:pPr>
        <w:keepNext/>
        <w:bidi/>
        <w:spacing w:after="80" w:line="240" w:lineRule="auto"/>
        <w:jc w:val="center"/>
      </w:pPr>
      <w:r>
        <w:rPr>
          <w:rFonts w:ascii="David" w:cs="David" w:eastAsia="David" w:hAnsi="David"/>
          <w:b w:val="false"/>
          <w:bCs w:val="false"/>
          <w:i w:val="false"/>
          <w:iCs w:val="false"/>
          <w:sz w:val="24"/>
          <w:szCs w:val="24"/>
          <w:rtl/>
        </w:rPr>
        <w:t xml:space="preserve">_______________________</w:t>
      </w:r>
    </w:p>
    <w:p>
      <w:pPr>
        <w:bidi/>
        <w:spacing w:after="0" w:line="240" w:lineRule="auto"/>
        <w:jc w:val="center"/>
      </w:pPr>
      <w:r>
        <w:rPr>
          <w:rFonts w:ascii="David" w:cs="David" w:eastAsia="David" w:hAnsi="David"/>
          <w:b/>
          <w:bCs/>
          <w:i w:val="false"/>
          <w:iCs w:val="false"/>
          <w:sz w:val="24"/>
          <w:szCs w:val="24"/>
          <w:highlight w:val="yellow"/>
          <w:highlightCs w:val="yellow"/>
          <w:rtl/>
        </w:rPr>
        <w:t xml:space="preserve">[שם עורך/ת הדין]</w:t>
      </w:r>
      <w:r>
        <w:rPr>
          <w:rFonts w:ascii="David" w:cs="David" w:eastAsia="David" w:hAnsi="David"/>
          <w:b/>
          <w:bCs/>
          <w:i w:val="false"/>
          <w:iCs w:val="false"/>
          <w:sz w:val="24"/>
          <w:szCs w:val="24"/>
          <w:rtl/>
        </w:rPr>
        <w:t xml:space="preserve">, עו"ד, מ.ר. ________, ב"כ הנתבעת</w:t>
      </w:r>
    </w:p>
    <w:p>
      <w:pPr>
        <w:keepNext/>
        <w:keepLines/>
        <w:pageBreakBefore/>
        <w:bidi/>
        <w:spacing w:after="200" w:before="240" w:line="360" w:lineRule="auto"/>
        <w:jc w:val="center"/>
      </w:pPr>
      <w:r>
        <w:rPr>
          <w:rFonts w:ascii="David" w:cs="David" w:eastAsia="David" w:hAnsi="David"/>
          <w:b/>
          <w:bCs/>
          <w:i w:val="false"/>
          <w:iCs w:val="false"/>
          <w:sz w:val="32"/>
          <w:szCs w:val="32"/>
          <w:u w:val="single"/>
          <w:rtl/>
        </w:rPr>
        <w:t xml:space="preserve">תצהיר מטעם הנתבעת ורשימת מסמכים</w:t>
      </w:r>
    </w:p>
    <w:p>
      <w:pPr>
        <w:keepNext/>
        <w:bidi/>
        <w:spacing w:after="220" w:line="300" w:lineRule="auto"/>
        <w:jc w:val="center"/>
      </w:pPr>
      <w:r>
        <w:rPr>
          <w:rFonts w:ascii="David" w:cs="David" w:eastAsia="David" w:hAnsi="David"/>
          <w:b w:val="false"/>
          <w:bCs w:val="false"/>
          <w:i w:val="false"/>
          <w:iCs w:val="false"/>
          <w:sz w:val="22"/>
          <w:szCs w:val="22"/>
          <w:rtl/>
        </w:rPr>
        <w:t xml:space="preserve">בבית משפט השלום בפתח תקווה, ת"א ______ | עמידר, החברה הלאומית לשיכון בישראל בע"מ נגד טדילה וונדימאג'ן | תצהיר לפי טופס 5 לתקנות סדר הדין האזרחי, התשע"ט-2018.</w:t>
      </w:r>
    </w:p>
    <w:p>
      <w:pPr>
        <w:bidi/>
        <w:spacing w:after="200" w:before="0" w:line="360" w:lineRule="auto"/>
        <w:jc w:val="both"/>
      </w:pPr>
      <w:r>
        <w:rPr>
          <w:rFonts w:ascii="David" w:cs="David" w:eastAsia="David" w:hAnsi="David"/>
          <w:b w:val="false"/>
          <w:bCs w:val="false"/>
          <w:i w:val="false"/>
          <w:iCs w:val="false"/>
          <w:sz w:val="24"/>
          <w:szCs w:val="24"/>
          <w:rtl/>
        </w:rPr>
        <w:t xml:space="preserve">אני החתומה מטה, טדילה וונדימאג'ן, ת.ז. 303214373, מרח' צה"ל 72/6 פתח תקווה, לאחר שהוזהרתי כי עליי לומר את האמת וכי אהיה צפויה לעונשים הקבועים בחוק אם לא אעשה כן, מצהירה בזאת כדלקמן:</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הריני עושה תצהירי זה כתצהיר תומך לכתב ההגנה מטעמי, לפי תקנה 79(א)(1) לתקנות. העובדות שבכתב ההגנה, להבדיל מן הטענות המשפטיות ומן המסקנות שבו, נכונות וידועות לי מידיעתי האישית; והעובדות הנוגעות למסמכי התובעת ידועות לי מתוך המסמכים עצמם.</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2.</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גדלתי בדירה והתגוררתי בה מילדותי, לרבות ביום 1.8.2009 וברציפות עד לשנת 2019. באותה שנה, על רקע מתח שנתגלע ביני לבין אבי, שכרתי דירה בסמוך; לא חדלתי לבקרו, סייעתי לו והכנתי עבורו אוכל. בסמוך לחודש דצמבר 2023 עזבתי את הדירה השכורה ועברתי לשהות לצדו ולסעוד אותו עד לפטירתו, ומאז אני מתגוררת בדירה ברציפות.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3.</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אבי המנוח, מר מנבר וונדימאג'ן ז"ל, ת.ז. 303214381, יליד 1943, עלה מאתיופיה בשנת 1991; הוא היה דובר אמהרית, לא ידע קרוא וכתוב ולא שלט בעברית.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4.</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ביום 3.7.2024 ערכה נציגת התובעת ביקור בדירה, ואני היא הבת שנכחה בו; "עדן" הוא שמי העברי.</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5.</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אני נכה בשיעור 100% ואיני עובדת, מוכרת באגף לשירותים חברתיים בעיריית פתח תקווה וסמוכה על קצבת המוסד לביטוח לאומי; אין לי דירה בבעלותי ומעולם לא היתה לי.</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6.</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לא זומנתי לשימוע או לדיון בפני ועדה בעניין מעמדי, לא הומצאה לי החלטה, ולא נמסרה לי הודעה מאת משרד הבינוי והשיכון בדבר אי-זכאותי לדירה ציבורית.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7.</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רשימת המסמכים הנוגעים לעניין הנדון, המצויים או שהיו מצויים ברשותי או בשליטתי ואשר איתרתי לאחר חקירה ודרישה, היא הנספחים א' עד ט' לכתב ההגנה. אין בידי תכתובת בכתב מול התובעת, שכן פניותיי אליה נעשו בעל פה במשרדיה.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8.</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זהו שמי, זו חתימתי ותוכן תצהירי אמת.</w:t>
      </w:r>
    </w:p>
    <w:p>
      <w:pPr>
        <w:bidi/>
        <w:spacing w:after="0" w:before="0" w:line="360" w:lineRule="auto"/>
        <w:jc w:val="both"/>
      </w:pPr>
    </w:p>
    <w:p>
      <w:pPr>
        <w:keepNext/>
        <w:bidi/>
        <w:spacing w:after="80" w:line="240" w:lineRule="auto"/>
        <w:jc w:val="center"/>
      </w:pPr>
      <w:r>
        <w:rPr>
          <w:rFonts w:ascii="David" w:cs="David" w:eastAsia="David" w:hAnsi="David"/>
          <w:b w:val="false"/>
          <w:bCs w:val="false"/>
          <w:i w:val="false"/>
          <w:iCs w:val="false"/>
          <w:sz w:val="24"/>
          <w:szCs w:val="24"/>
          <w:rtl/>
        </w:rPr>
        <w:t xml:space="preserve">_______________________</w:t>
      </w:r>
    </w:p>
    <w:p>
      <w:pPr>
        <w:bidi/>
        <w:spacing w:after="240" w:line="240" w:lineRule="auto"/>
        <w:jc w:val="center"/>
      </w:pPr>
      <w:r>
        <w:rPr>
          <w:rFonts w:ascii="David" w:cs="David" w:eastAsia="David" w:hAnsi="David"/>
          <w:b/>
          <w:bCs/>
          <w:i w:val="false"/>
          <w:iCs w:val="false"/>
          <w:sz w:val="24"/>
          <w:szCs w:val="24"/>
          <w:rtl/>
        </w:rPr>
        <w:t xml:space="preserve">טדילה וונדימאג'ן</w:t>
      </w:r>
    </w:p>
    <w:p>
      <w:pPr>
        <w:bidi/>
        <w:spacing w:after="140" w:before="240"/>
        <w:jc w:val="center"/>
      </w:pPr>
      <w:r>
        <w:rPr>
          <w:rFonts w:ascii="David" w:cs="David" w:eastAsia="David" w:hAnsi="David"/>
          <w:b/>
          <w:bCs/>
          <w:i w:val="false"/>
          <w:iCs w:val="false"/>
          <w:sz w:val="24"/>
          <w:szCs w:val="24"/>
          <w:u w:val="single"/>
          <w:rtl/>
        </w:rPr>
        <w:t xml:space="preserve">א י ש ו ר</w:t>
      </w:r>
    </w:p>
    <w:p>
      <w:pPr>
        <w:bidi/>
        <w:spacing w:after="120" w:before="0" w:line="360" w:lineRule="auto"/>
        <w:jc w:val="both"/>
      </w:pPr>
      <w:r>
        <w:rPr>
          <w:rFonts w:ascii="David" w:cs="David" w:eastAsia="David" w:hAnsi="David"/>
          <w:b w:val="false"/>
          <w:bCs w:val="false"/>
          <w:i w:val="false"/>
          <w:iCs w:val="false"/>
          <w:sz w:val="24"/>
          <w:szCs w:val="24"/>
          <w:rtl/>
        </w:rPr>
        <w:t xml:space="preserve">הריני לאשר כי ביום __________ הופיעה בפניי, במשרדי ברח' ____________________, גב' טדילה וונדימאג'ן, שזיהיתיה לפי ת.ז. 303214373, ולאחר שהזהרתיה כי עליה לומר את האמת וכי תהיה צפויה לעונשים הקבועים בחוק אם לא תעשה כן, אישרה את נכונות הצהרתה וחתמה עליה בפניי.</w:t>
      </w:r>
    </w:p>
    <w:p>
      <w:pPr>
        <w:bidi/>
        <w:spacing w:after="0" w:before="0" w:line="360" w:lineRule="auto"/>
        <w:jc w:val="both"/>
      </w:pPr>
    </w:p>
    <w:p>
      <w:pPr>
        <w:keepNext/>
        <w:bidi/>
        <w:spacing w:after="80" w:line="240" w:lineRule="auto"/>
        <w:jc w:val="center"/>
      </w:pPr>
      <w:r>
        <w:rPr>
          <w:rFonts w:ascii="David" w:cs="David" w:eastAsia="David" w:hAnsi="David"/>
          <w:b w:val="false"/>
          <w:bCs w:val="false"/>
          <w:i w:val="false"/>
          <w:iCs w:val="false"/>
          <w:sz w:val="24"/>
          <w:szCs w:val="24"/>
          <w:rtl/>
        </w:rPr>
        <w:t xml:space="preserve">_______________________</w:t>
      </w:r>
    </w:p>
    <w:p>
      <w:pPr>
        <w:bidi/>
        <w:spacing w:after="0" w:line="240" w:lineRule="auto"/>
        <w:jc w:val="center"/>
      </w:pPr>
      <w:r>
        <w:rPr>
          <w:rFonts w:ascii="David" w:cs="David" w:eastAsia="David" w:hAnsi="David"/>
          <w:b/>
          <w:bCs/>
          <w:i w:val="false"/>
          <w:iCs w:val="false"/>
          <w:sz w:val="24"/>
          <w:szCs w:val="24"/>
          <w:highlight w:val="yellow"/>
          <w:highlightCs w:val="yellow"/>
          <w:rtl/>
        </w:rPr>
        <w:t xml:space="preserve">[שם עורך/ת הדין]</w:t>
      </w:r>
      <w:r>
        <w:rPr>
          <w:rFonts w:ascii="David" w:cs="David" w:eastAsia="David" w:hAnsi="David"/>
          <w:b/>
          <w:bCs/>
          <w:i w:val="false"/>
          <w:iCs w:val="false"/>
          <w:sz w:val="24"/>
          <w:szCs w:val="24"/>
          <w:rtl/>
        </w:rPr>
        <w:t xml:space="preserve">, עו"ד, מ.ר. ________</w:t>
      </w:r>
    </w:p>
    <w:p>
      <w:pPr>
        <w:keepNext/>
        <w:keepLines/>
        <w:pageBreakBefore/>
        <w:bidi/>
        <w:spacing w:after="200" w:before="240" w:line="360" w:lineRule="auto"/>
        <w:jc w:val="center"/>
      </w:pPr>
      <w:r>
        <w:rPr>
          <w:rFonts w:ascii="David" w:cs="David" w:eastAsia="David" w:hAnsi="David"/>
          <w:b/>
          <w:bCs/>
          <w:i w:val="false"/>
          <w:iCs w:val="false"/>
          <w:sz w:val="32"/>
          <w:szCs w:val="32"/>
          <w:u w:val="single"/>
          <w:rtl/>
        </w:rPr>
        <w:t xml:space="preserve">הערות להשלמה - למחיקה לפני ההגשה</w:t>
      </w:r>
    </w:p>
    <w:p>
      <w:pPr>
        <w:bidi/>
        <w:spacing w:after="200" w:before="0" w:line="360" w:lineRule="auto"/>
        <w:jc w:val="both"/>
      </w:pPr>
      <w:r>
        <w:rPr>
          <w:rFonts w:ascii="David" w:cs="David" w:eastAsia="David" w:hAnsi="David"/>
          <w:b w:val="false"/>
          <w:bCs w:val="false"/>
          <w:i w:val="false"/>
          <w:iCs w:val="false"/>
          <w:sz w:val="24"/>
          <w:szCs w:val="24"/>
          <w:rtl/>
        </w:rPr>
        <w:t xml:space="preserve">דף זה אינו חלק מכתב ההגנה. יש למחוק אותו, ואת ההערות המודגשות בגוף המסמך, לפני ההגשה.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w:t>
      </w:r>
      <w:r>
        <w:rPr>
          <w:rFonts w:ascii="David" w:cs="David" w:eastAsia="David" w:hAnsi="David"/>
          <w:sz w:val="24"/>
          <w:szCs w:val="24"/>
          <w:rtl/>
        </w:rPr>
        <w:tab/>
      </w:r>
      <w:r>
        <w:rPr>
          <w:rFonts w:ascii="David" w:cs="David" w:eastAsia="David" w:hAnsi="David"/>
          <w:b/>
          <w:bCs/>
          <w:i w:val="false"/>
          <w:iCs w:val="false"/>
          <w:sz w:val="24"/>
          <w:szCs w:val="24"/>
          <w:rtl/>
        </w:rPr>
        <w:t xml:space="preserve">התאמה לכתב ההגנה בתביעת סילוק היד.</w:t>
      </w:r>
      <w:r>
        <w:rPr>
          <w:rFonts w:ascii="David" w:cs="David" w:eastAsia="David" w:hAnsi="David"/>
          <w:b w:val="false"/>
          <w:bCs w:val="false"/>
          <w:i w:val="false"/>
          <w:iCs w:val="false"/>
          <w:sz w:val="24"/>
          <w:szCs w:val="24"/>
          <w:rtl/>
        </w:rPr>
        <w:t xml:space="preserve"> הגרסה העובדתית שנקבעה - מגורים בדירה מילדות, לרבות ביום 1.8.2009 וברציפות עד שנת 2019; שכירת דירה בסמוך באותה שנה על רקע מתח עם האב, בלא נטישתו; שיבה אל הדירה בסמוך לדצמבר 2023 לשם סיעודו; ומגורים רצופים מאז - שולבה בסעיף 3 ובחלק השלישי לכתב הגנה זה ובתצהיר. יש לוודא שכתב ההגנה בת"א 12718-06-26 מוסר את אותה גרסה בדיוק, ובפרט את תקופת 2009 עד 2019 ואת הטעם למעבר, שכן הדיונים אוחדו.</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2.</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מספר התיק בכותרת; שם עורך הדין, מספר רישיון, מען ופרטי התקשרות.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3.</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לצרף את מכתב האגף לשירותים חברתיים בעיריית פתח תקווה (נספח ה') ולאמת מול המקור את הציטוטים שבכתב ההגנה. המכתב אינו נושא שם עובד ותפקיד ואינו נושא תאריך מדויק, ולכן נרשם בגוף כתב ההגנה לפי החודש בלבד. כן לצרף את אישור ההכרה כנתמכת (נספח ו') ואת אישור המוסד לביטוח לאומי בדבר נכות בשיעור 100% (נספח ז').</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4.</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המסמך המרכזי של התובעת הוא התצהיר המודפס מיום 10.11.2021 (עמ' 35 לכתב התביעה). לחיזוק הטענה נגדו נדרש: ראיה לכך שהמנוח לא ידע קרוא וכתוב ולא שלט בעברית (מסמכי עלייה וקליטה, רישומי אולפן, מסמכים רפואיים או סיעודיים, תצהירי בני משפחה ושכנים); ביסוס לטענה שגב' נטלי לוגסי אינה דוברת אמהרית, שאפשר להוכיחה גם בחקירתה; ושקילת בקשה נפרדת להוצאת המסמך מן התיק או להתנגדות להגשתו בפתח שמיעת הראיות.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5.</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ראיות תומכות בתקופת המגורים, לאיסוף ולצירוף: מרשם האוכלוסין ותמצית רישום לשנים 2009 עד 2019, חשבונות ודברי דואר שנשלחו לכתובת הדירה באותן שנים, חוזה השכירות של הדירה שנשכרה בשנת 2019 ומועד סיומו, מסמכים רפואיים מתקופת מחלת האב, ותצהירי שכנים מאותו בניין המכירים את הנתבעת ואת המנוח שנים רבות.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6.</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מכתב הנתבעת משנת 2013 (נספח ד'): כתב היד אינו קריא במלואו, והתיאור שבו נוגע גם לבני משפחה נוספים. יש לקרוא אותו עם הלקוחה ולוודא שהתיאור שבכתב ההגנה תואם את תוכנו במדויק, ובפרט שאינו סותר את האמור במכתב הרווחה מיולי 2026.</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7.</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זכאותה העצמאית של הנתבעת לדירה ציבורית לפי כללי משרד הבינוי והשיכון טרם נבדקה. יש לבדקה מול המשרד, ובהתאם לתוצאה לחזק את הטענה החלופית לפי סעיף 3(ב) לחוק.</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8.</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לאמת לפני ההגשה את נוסחם המדויק של סעיף 3 לחוק ושל הוראת המעבר בחוק ההתייעלות הכלכלית, התשס"ט-2009, ובפרט אם ארבע שנות המגורים הרצופות נדרשות עד למועד הפטירה או בתוך התקופה שמיום 1.8.2009; כן לאמת את סימון סעיף הקטן שבסעיף 2 לחוזה שעניינו הודעה בכתב שישים יום מראש.</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9.</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המועד האחרון להגשה נרשם לפי הנתון שנמסר, 4.9.2026. יש לאמת את החישוב מול תקנה 80(א) (45 ימים מן ההמצאה ביום 21.6.2026) ומול תקנה 179(ב) בעניין פגרת בתי המשפט.</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10.</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צירוף ייפוי כוח (נספח ט') ובקשת ההכרה כדיירת ממשיכה (נספח ח'). אם הבקשה אינה מצויה בידי הנתבעת, יש לפרט בתצהיר את הנסיבות (תקנה 79(א)(2) סיפא).</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11.</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הוחלט שלא להגיש תביעה שכנגד להשבת הכספים שנגבו. השבתם נתבעת בדרך של קיזוז וניכוי בסעיף הסעד.</w:t>
      </w:r>
    </w:p>
    <w:sectPr>
      <w:footerReference w:type="default" r:id="rId7"/>
      <w:pgSz w:w="11906" w:h="16838" w:orient="portrait"/>
      <w:pgMar w:top="850" w:right="1417" w:bottom="646" w:left="1417" w:header="340" w:footer="340" w:gutter="0"/>
      <w:bidi/>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bidi/>
        <w:ind w:start="720" w:hanging="360"/>
      </w:pPr>
    </w:lvl>
    <w:lvl w:ilvl="1" w15:tentative="1">
      <w:start w:val="1"/>
      <w:numFmt w:val="bullet"/>
      <w:lvlText w:val="○"/>
      <w:lvlJc w:val="left"/>
      <w:pPr>
        <w:bidi/>
        <w:ind w:start="1440" w:hanging="360"/>
      </w:pPr>
    </w:lvl>
    <w:lvl w:ilvl="2" w15:tentative="1">
      <w:start w:val="1"/>
      <w:numFmt w:val="bullet"/>
      <w:lvlText w:val="■"/>
      <w:lvlJc w:val="left"/>
      <w:pPr>
        <w:bidi/>
        <w:ind w:start="2160" w:hanging="360"/>
      </w:pPr>
    </w:lvl>
    <w:lvl w:ilvl="3" w15:tentative="1">
      <w:start w:val="1"/>
      <w:numFmt w:val="bullet"/>
      <w:lvlText w:val="●"/>
      <w:lvlJc w:val="left"/>
      <w:pPr>
        <w:bidi/>
        <w:ind w:start="2880" w:hanging="360"/>
      </w:pPr>
    </w:lvl>
    <w:lvl w:ilvl="4" w15:tentative="1">
      <w:start w:val="1"/>
      <w:numFmt w:val="bullet"/>
      <w:lvlText w:val="○"/>
      <w:lvlJc w:val="left"/>
      <w:pPr>
        <w:bidi/>
        <w:ind w:start="3600" w:hanging="360"/>
      </w:pPr>
    </w:lvl>
    <w:lvl w:ilvl="5" w15:tentative="1">
      <w:start w:val="1"/>
      <w:numFmt w:val="bullet"/>
      <w:lvlText w:val="■"/>
      <w:lvlJc w:val="left"/>
      <w:pPr>
        <w:bidi/>
        <w:ind w:start="4320" w:hanging="360"/>
      </w:pPr>
    </w:lvl>
    <w:lvl w:ilvl="6" w15:tentative="1">
      <w:start w:val="1"/>
      <w:numFmt w:val="bullet"/>
      <w:lvlText w:val="●"/>
      <w:lvlJc w:val="left"/>
      <w:pPr>
        <w:bidi/>
        <w:ind w:start="5040" w:hanging="360"/>
      </w:pPr>
    </w:lvl>
    <w:lvl w:ilvl="7" w15:tentative="1">
      <w:start w:val="1"/>
      <w:numFmt w:val="bullet"/>
      <w:lvlText w:val="●"/>
      <w:lvlJc w:val="left"/>
      <w:pPr>
        <w:bidi/>
        <w:ind w:start="5760" w:hanging="360"/>
      </w:pPr>
    </w:lvl>
    <w:lvl w:ilvl="8" w15:tentative="1">
      <w:start w:val="1"/>
      <w:numFmt w:val="bullet"/>
      <w:lvlText w:val="●"/>
      <w:lvlJc w:val="left"/>
      <w:pPr>
        <w:bidi/>
        <w:ind w:star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Un-named</cp:lastModifiedBy>
  <cp:revision>1</cp:revision>
  <dcterms:created xsi:type="dcterms:W3CDTF">2026-09-02T12:38:18.590Z</dcterms:created>
  <dcterms:modified xsi:type="dcterms:W3CDTF">2026-09-02T12:38:18.591Z</dcterms:modified>
</cp:coreProperties>
</file>

<file path=docProps/custom.xml><?xml version="1.0" encoding="utf-8"?>
<Properties xmlns="http://schemas.openxmlformats.org/officeDocument/2006/custom-properties" xmlns:vt="http://schemas.openxmlformats.org/officeDocument/2006/docPropsVTypes"/>
</file>