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b/>
          <w:sz w:val="28"/>
          <w:u w:val="single"/>
          <w:rtl w:val="1"/>
          <w:szCs w:val="28"/>
          <w:bCs w:val="1"/>
        </w:rPr>
        <w:t>בית משפט השלום בפתח תקווה</w:t>
      </w:r>
    </w:p>
    <w:p>
      <w:pPr>
        <w:bidi w:val="1"/>
        <w:spacing w:lineRule="auto" w:line="240" w:after="160" w:before="0"/>
        <w:jc w:val="center"/>
      </w:pPr>
      <w:r>
        <w:rPr>
          <w:rFonts w:ascii="David" w:hAnsi="David" w:cs="David" w:eastAsia="David"/>
          <w:b w:val="0"/>
          <w:sz w:val="24"/>
          <w:u w:val="none"/>
          <w:rtl w:val="1"/>
          <w:szCs w:val="24"/>
        </w:rPr>
        <w:t>ת"א ______________</w:t>
      </w:r>
    </w:p>
    <w:p>
      <w:pPr>
        <w:bidi w:val="1"/>
        <w:spacing w:lineRule="auto" w:line="240" w:after="40" w:before="0"/>
        <w:jc w:val="both"/>
      </w:pPr>
    </w:p>
    <w:p>
      <w:pPr>
        <w:bidi w:val="1"/>
        <w:spacing w:lineRule="auto" w:line="240" w:after="80" w:before="0"/>
        <w:jc w:val="right"/>
      </w:pPr>
      <w:r>
        <w:rPr>
          <w:rFonts w:ascii="David" w:hAnsi="David" w:cs="David" w:eastAsia="David"/>
          <w:b/>
          <w:sz w:val="24"/>
          <w:u w:val="single"/>
          <w:rtl w:val="1"/>
          <w:szCs w:val="24"/>
          <w:bCs w:val="1"/>
        </w:rPr>
        <w:t>בעניין:</w:t>
      </w:r>
    </w:p>
    <w:p>
      <w:pPr>
        <w:bidi w:val="1"/>
        <w:spacing w:lineRule="auto" w:line="240" w:after="0" w:before="0"/>
        <w:ind w:left="850"/>
        <w:jc w:val="right"/>
      </w:pPr>
      <w:r>
        <w:rPr>
          <w:rFonts w:ascii="David" w:hAnsi="David" w:cs="David" w:eastAsia="David"/>
          <w:b/>
          <w:sz w:val="24"/>
          <w:u w:val="none"/>
          <w:rtl w:val="1"/>
          <w:szCs w:val="24"/>
          <w:bCs w:val="1"/>
        </w:rPr>
        <w:t>עמידר החברה הלאומית לשיכון בישראל בע"מ, ח.פ. 520017393</w:t>
      </w:r>
    </w:p>
    <w:p>
      <w:pPr>
        <w:bidi w:val="1"/>
        <w:spacing w:lineRule="auto" w:line="240" w:after="0" w:before="0"/>
        <w:ind w:left="850"/>
        <w:jc w:val="right"/>
      </w:pPr>
      <w:r>
        <w:rPr>
          <w:rFonts w:ascii="David" w:hAnsi="David" w:cs="David" w:eastAsia="David"/>
          <w:b w:val="0"/>
          <w:sz w:val="24"/>
          <w:u w:val="none"/>
          <w:rtl w:val="1"/>
          <w:szCs w:val="24"/>
        </w:rPr>
        <w:t>מרח' הרוקמים 26, חולון</w:t>
      </w:r>
    </w:p>
    <w:p>
      <w:pPr>
        <w:bidi w:val="1"/>
        <w:spacing w:lineRule="auto" w:line="240" w:after="0" w:before="0"/>
        <w:ind w:left="850"/>
        <w:jc w:val="right"/>
      </w:pPr>
      <w:r>
        <w:rPr>
          <w:rFonts w:ascii="David" w:hAnsi="David" w:cs="David" w:eastAsia="David"/>
          <w:b w:val="0"/>
          <w:sz w:val="24"/>
          <w:u w:val="none"/>
          <w:rtl w:val="1"/>
          <w:szCs w:val="24"/>
        </w:rPr>
        <w:t>ע"י ב"כ עוה"ד ליאור סיגון (מ.ר. 57413) ו/או ג'וזף דוד ו/או מושיק הלוי</w:t>
      </w:r>
    </w:p>
    <w:p>
      <w:pPr>
        <w:bidi w:val="1"/>
        <w:spacing w:lineRule="auto" w:line="240" w:after="0" w:before="0"/>
        <w:ind w:left="850"/>
        <w:jc w:val="right"/>
      </w:pPr>
      <w:r>
        <w:rPr>
          <w:rFonts w:ascii="David" w:hAnsi="David" w:cs="David" w:eastAsia="David"/>
          <w:b w:val="0"/>
          <w:sz w:val="24"/>
          <w:u w:val="none"/>
          <w:rtl w:val="1"/>
          <w:szCs w:val="24"/>
        </w:rPr>
        <w:t>ו/או ענבר גליכמן קונסטנטינובסקי ו/או דולב דוד ו/או ולדי ירמולניק ואח'</w:t>
      </w:r>
    </w:p>
    <w:p>
      <w:pPr>
        <w:bidi w:val="1"/>
        <w:spacing w:lineRule="auto" w:line="240" w:after="0" w:before="0"/>
        <w:ind w:left="850"/>
        <w:jc w:val="right"/>
      </w:pPr>
      <w:r>
        <w:rPr>
          <w:rFonts w:ascii="David" w:hAnsi="David" w:cs="David" w:eastAsia="David"/>
          <w:b w:val="0"/>
          <w:sz w:val="24"/>
          <w:u w:val="none"/>
          <w:rtl w:val="1"/>
          <w:szCs w:val="24"/>
        </w:rPr>
        <w:t>מרח' מצדה 9, מגדל ב.ס.ר 3, קומה 6</w:t>
      </w:r>
    </w:p>
    <w:p>
      <w:pPr>
        <w:bidi w:val="1"/>
        <w:spacing w:lineRule="auto" w:line="240" w:after="0" w:before="0"/>
        <w:ind w:left="850"/>
        <w:jc w:val="right"/>
      </w:pPr>
      <w:r>
        <w:rPr>
          <w:rFonts w:ascii="David" w:hAnsi="David" w:cs="David" w:eastAsia="David"/>
          <w:b w:val="0"/>
          <w:sz w:val="24"/>
          <w:u w:val="none"/>
          <w:rtl w:val="1"/>
          <w:szCs w:val="24"/>
        </w:rPr>
        <w:t>טל': 03-9451451; פקס: 03-9457457</w:t>
      </w:r>
    </w:p>
    <w:p>
      <w:pPr>
        <w:bidi w:val="1"/>
        <w:spacing w:lineRule="auto" w:line="240" w:after="80" w:before="0"/>
        <w:jc w:val="left"/>
      </w:pPr>
      <w:r>
        <w:rPr>
          <w:rFonts w:ascii="David" w:hAnsi="David" w:cs="David" w:eastAsia="David"/>
          <w:b/>
          <w:sz w:val="24"/>
          <w:u w:val="single"/>
          <w:rtl w:val="1"/>
          <w:szCs w:val="24"/>
          <w:bCs w:val="1"/>
        </w:rPr>
        <w:t>התובעת;</w:t>
      </w:r>
    </w:p>
    <w:p>
      <w:pPr>
        <w:bidi w:val="1"/>
        <w:spacing w:lineRule="auto" w:line="240" w:after="40" w:before="0"/>
        <w:jc w:val="both"/>
      </w:pPr>
    </w:p>
    <w:p>
      <w:pPr>
        <w:bidi w:val="1"/>
        <w:spacing w:lineRule="auto" w:line="240" w:after="80" w:before="0"/>
        <w:jc w:val="center"/>
      </w:pPr>
      <w:r>
        <w:rPr>
          <w:rFonts w:ascii="David" w:hAnsi="David" w:cs="David" w:eastAsia="David"/>
          <w:b/>
          <w:sz w:val="24"/>
          <w:u w:val="none"/>
          <w:rtl w:val="1"/>
          <w:szCs w:val="24"/>
          <w:bCs w:val="1"/>
        </w:rPr>
        <w:t>- נ ג ד -</w:t>
      </w:r>
    </w:p>
    <w:p>
      <w:pPr>
        <w:bidi w:val="1"/>
        <w:spacing w:lineRule="auto" w:line="240" w:after="40" w:before="0"/>
        <w:jc w:val="both"/>
      </w:pPr>
    </w:p>
    <w:p>
      <w:pPr>
        <w:bidi w:val="1"/>
        <w:spacing w:lineRule="auto" w:line="240" w:after="0" w:before="0"/>
        <w:ind w:left="850"/>
        <w:jc w:val="right"/>
      </w:pPr>
      <w:r>
        <w:rPr>
          <w:rFonts w:ascii="David" w:hAnsi="David" w:cs="David" w:eastAsia="David"/>
          <w:b/>
          <w:sz w:val="24"/>
          <w:u w:val="none"/>
          <w:rtl w:val="1"/>
          <w:szCs w:val="24"/>
          <w:bCs w:val="1"/>
        </w:rPr>
        <w:t>טדילה וונדימאג'ן, ת.ז. 303214373</w:t>
      </w:r>
    </w:p>
    <w:p>
      <w:pPr>
        <w:bidi w:val="1"/>
        <w:spacing w:lineRule="auto" w:line="240" w:after="0" w:before="0"/>
        <w:ind w:left="850"/>
        <w:jc w:val="right"/>
      </w:pPr>
      <w:r>
        <w:rPr>
          <w:rFonts w:ascii="David" w:hAnsi="David" w:cs="David" w:eastAsia="David"/>
          <w:b w:val="0"/>
          <w:sz w:val="24"/>
          <w:u w:val="none"/>
          <w:rtl w:val="1"/>
          <w:szCs w:val="24"/>
        </w:rPr>
        <w:t>מרח' צה"ל 72/6, פתח תקווה</w:t>
      </w:r>
    </w:p>
    <w:p>
      <w:pPr>
        <w:bidi w:val="1"/>
        <w:spacing w:lineRule="auto" w:line="240" w:after="0" w:before="0"/>
        <w:ind w:left="850"/>
        <w:jc w:val="right"/>
      </w:pPr>
      <w:r>
        <w:rPr>
          <w:rFonts w:ascii="David" w:hAnsi="David" w:cs="David" w:eastAsia="David"/>
          <w:b w:val="0"/>
          <w:sz w:val="24"/>
          <w:u w:val="none"/>
          <w:rtl w:val="1"/>
          <w:szCs w:val="24"/>
        </w:rPr>
        <w:t>ע"י ב"כ עו"ד ______________, מ.ר. __________</w:t>
      </w:r>
    </w:p>
    <w:p>
      <w:pPr>
        <w:bidi w:val="1"/>
        <w:spacing w:lineRule="auto" w:line="240" w:after="0" w:before="0"/>
        <w:ind w:left="850"/>
        <w:jc w:val="right"/>
      </w:pPr>
      <w:r>
        <w:rPr>
          <w:rFonts w:ascii="David" w:hAnsi="David" w:cs="David" w:eastAsia="David"/>
          <w:b w:val="0"/>
          <w:sz w:val="24"/>
          <w:u w:val="none"/>
          <w:rtl w:val="1"/>
          <w:szCs w:val="24"/>
        </w:rPr>
        <w:t>מרח' ______________; טל': __________; פקס: __________</w:t>
      </w:r>
    </w:p>
    <w:p>
      <w:pPr>
        <w:bidi w:val="1"/>
        <w:spacing w:lineRule="auto" w:line="240" w:after="0" w:before="0"/>
        <w:ind w:left="850"/>
        <w:jc w:val="right"/>
      </w:pPr>
      <w:r>
        <w:rPr>
          <w:rFonts w:ascii="David" w:hAnsi="David" w:cs="David" w:eastAsia="David"/>
          <w:b w:val="0"/>
          <w:sz w:val="24"/>
          <w:u w:val="none"/>
          <w:rtl w:val="1"/>
          <w:szCs w:val="24"/>
        </w:rPr>
        <w:t>דוא"ל: ______________________</w:t>
      </w:r>
    </w:p>
    <w:p>
      <w:pPr>
        <w:bidi w:val="1"/>
        <w:spacing w:lineRule="auto" w:line="240" w:after="80" w:before="0"/>
        <w:jc w:val="left"/>
      </w:pPr>
      <w:r>
        <w:rPr>
          <w:rFonts w:ascii="David" w:hAnsi="David" w:cs="David" w:eastAsia="David"/>
          <w:b/>
          <w:sz w:val="24"/>
          <w:u w:val="single"/>
          <w:rtl w:val="1"/>
          <w:szCs w:val="24"/>
          <w:bCs w:val="1"/>
        </w:rPr>
        <w:t>הנתבעת;</w:t>
      </w:r>
    </w:p>
    <w:p>
      <w:pPr>
        <w:bidi w:val="1"/>
        <w:spacing w:lineRule="auto" w:line="240" w:after="40" w:before="0"/>
        <w:jc w:val="both"/>
      </w:pPr>
    </w:p>
    <w:p>
      <w:pPr>
        <w:bidi w:val="1"/>
        <w:spacing w:lineRule="auto" w:line="360" w:after="120" w:before="0"/>
        <w:jc w:val="both"/>
      </w:pPr>
      <w:r>
        <w:rPr>
          <w:rFonts w:ascii="David" w:hAnsi="David" w:cs="David" w:eastAsia="David"/>
          <w:b w:val="0"/>
          <w:sz w:val="24"/>
          <w:u w:val="none"/>
          <w:rtl w:val="1"/>
          <w:szCs w:val="24"/>
        </w:rPr>
        <w:t>מועד המצאת כתב התביעה לנתבעת: יום ____________.</w:t>
      </w:r>
    </w:p>
    <w:p>
      <w:pPr>
        <w:bidi w:val="1"/>
        <w:spacing w:lineRule="auto" w:line="360" w:after="120" w:before="0"/>
        <w:jc w:val="both"/>
      </w:pPr>
      <w:r>
        <w:rPr>
          <w:rFonts w:ascii="David" w:hAnsi="David" w:cs="David" w:eastAsia="David"/>
          <w:b w:val="0"/>
          <w:sz w:val="24"/>
          <w:u w:val="none"/>
          <w:rtl w:val="1"/>
          <w:szCs w:val="24"/>
        </w:rPr>
        <w:t>מועד אחרון להגשת כתב ההגנה לפי תקנה 30 לתקנות סדר הדין האזרחי, התשע"ט-2018: יום ____________.</w:t>
      </w:r>
    </w:p>
    <w:p>
      <w:pPr>
        <w:bidi w:val="1"/>
        <w:spacing w:lineRule="auto" w:line="360" w:after="120" w:before="0"/>
        <w:jc w:val="both"/>
      </w:pPr>
      <w:r>
        <w:rPr>
          <w:rFonts w:ascii="David" w:hAnsi="David" w:cs="David" w:eastAsia="David"/>
          <w:b w:val="0"/>
          <w:sz w:val="24"/>
          <w:u w:val="none"/>
          <w:rtl w:val="1"/>
          <w:szCs w:val="24"/>
        </w:rPr>
        <w:t>דבר קיומו של הליך נוסף בבית משפט או בבית דין בקשר למסכת עובדתית דומה שהנתבעת צד לו או היתה צד לו: אין.</w:t>
      </w:r>
    </w:p>
    <w:p>
      <w:pPr>
        <w:bidi w:val="1"/>
        <w:spacing w:lineRule="auto" w:line="240" w:after="40" w:before="0"/>
        <w:jc w:val="both"/>
      </w:pPr>
    </w:p>
    <w:p>
      <w:pPr>
        <w:bidi w:val="1"/>
        <w:spacing w:lineRule="auto" w:line="240" w:after="200" w:before="200"/>
        <w:jc w:val="center"/>
      </w:pPr>
      <w:r>
        <w:rPr>
          <w:rFonts w:ascii="David" w:hAnsi="David" w:cs="David" w:eastAsia="David"/>
          <w:b/>
          <w:sz w:val="32"/>
          <w:u w:val="single"/>
          <w:rtl w:val="1"/>
          <w:szCs w:val="32"/>
          <w:bCs w:val="1"/>
        </w:rPr>
        <w:t>כתב הגנה</w:t>
      </w:r>
    </w:p>
    <w:p>
      <w:pPr>
        <w:bidi w:val="1"/>
        <w:spacing w:lineRule="auto" w:line="240" w:after="40" w:before="0"/>
        <w:jc w:val="both"/>
      </w:pPr>
    </w:p>
    <w:p>
      <w:pPr>
        <w:bidi w:val="1"/>
        <w:spacing w:lineRule="auto" w:line="360" w:after="120" w:before="0"/>
        <w:jc w:val="both"/>
      </w:pPr>
      <w:r>
        <w:rPr>
          <w:rFonts w:ascii="David" w:hAnsi="David" w:cs="David" w:eastAsia="David"/>
          <w:b w:val="0"/>
          <w:sz w:val="24"/>
          <w:u w:val="none"/>
          <w:rtl w:val="1"/>
          <w:szCs w:val="24"/>
        </w:rPr>
        <w:t>הנתבעת, טדילה וונדימאג'ן, מתכבדת להגיש כתב הגנה מטעמה. הנתבעת תיוצג על ידי בא כוחה שבכותרת, וכתובתה להמצאת כתבי בי-דין הינה כמצוין בכותרת. כל הטענות הנטענות בכתב התביעה מוכחשות, למעט אם צוין במפורש אחרת.</w:t>
      </w:r>
    </w:p>
    <w:p>
      <w:pPr>
        <w:bidi w:val="1"/>
        <w:spacing w:lineRule="auto" w:line="360" w:after="160" w:before="240"/>
        <w:jc w:val="center"/>
      </w:pPr>
      <w:r>
        <w:rPr>
          <w:rFonts w:ascii="David" w:hAnsi="David" w:cs="David" w:eastAsia="David"/>
          <w:b/>
          <w:sz w:val="28"/>
          <w:u w:val="single"/>
          <w:rtl w:val="1"/>
          <w:szCs w:val="28"/>
          <w:bCs w:val="1"/>
        </w:rPr>
        <w:t>חלק שני – עיקר הטענות</w:t>
      </w:r>
    </w:p>
    <w:p>
      <w:pPr>
        <w:bidi w:val="1"/>
        <w:spacing w:lineRule="auto" w:line="360" w:after="120" w:before="200"/>
        <w:jc w:val="right"/>
      </w:pPr>
      <w:r>
        <w:rPr>
          <w:rFonts w:ascii="David" w:hAnsi="David" w:cs="David" w:eastAsia="David"/>
          <w:b/>
          <w:sz w:val="24"/>
          <w:u w:val="single"/>
          <w:rtl w:val="1"/>
          <w:szCs w:val="24"/>
          <w:bCs w:val="1"/>
        </w:rPr>
        <w:t>פתח דבר</w:t>
      </w:r>
    </w:p>
    <w:p>
      <w:pPr>
        <w:bidi w:val="1"/>
        <w:spacing w:lineRule="auto" w:line="360" w:after="160" w:before="0"/>
        <w:ind w:left="510" w:hanging="510"/>
        <w:jc w:val="both"/>
      </w:pPr>
      <w:r>
        <w:rPr>
          <w:rFonts w:ascii="David" w:hAnsi="David" w:cs="David" w:eastAsia="David"/>
          <w:b w:val="0"/>
          <w:sz w:val="24"/>
          <w:u w:val="none"/>
          <w:rtl w:val="1"/>
          <w:szCs w:val="24"/>
        </w:rPr>
        <w:t>1.</w:t>
        <w:tab/>
        <w:t>מכף רגל ועד ראש, כתב התביעה דנא כולו פצע וחבורה ומכה טריה ואין בו מתום. התובעת – חברה ממשלתית האמונה על ניהול מלאי הדיור הציבורי של מדינת ישראל, והחבה מכוח כך בחובת הגינות מוגברת כלפי הפונים אליה – עותרת להוציא מן הדירה דנא אישה בת 42, רווקה, נכת 100% אשר אינה עובדת ומתקיימת מקצבת נכות, המתגוררת בדירה מיום 8.8.1996, קרי מזה שלושים שנה תמימות, מאז היותה ילדה. וכל זאת, תוך שהיא מכתירה אותה בתואר "פולשת".</w:t>
      </w:r>
    </w:p>
    <w:p>
      <w:pPr>
        <w:bidi w:val="1"/>
        <w:spacing w:lineRule="auto" w:line="360" w:after="160" w:before="0"/>
        <w:ind w:left="510" w:hanging="510"/>
        <w:jc w:val="both"/>
      </w:pPr>
      <w:r>
        <w:rPr>
          <w:rFonts w:ascii="David" w:hAnsi="David" w:cs="David" w:eastAsia="David"/>
          <w:b w:val="0"/>
          <w:sz w:val="24"/>
          <w:u w:val="none"/>
          <w:rtl w:val="1"/>
          <w:szCs w:val="24"/>
        </w:rPr>
        <w:t>2.</w:t>
        <w:tab/>
        <w:t>ודוק; אין המדובר בשגגה שיצאה מלפני התובעת. נספחי כתב התביעה – הם ורק הם – מפריכים את טענתו המרכזית מיניה וביה. בדוחות הביקור שצירפה התובעת עצמה נרשם, בידי נציגיה שלה: כי בביקור מיום 3.8.2020 סומן בשדה "גר/ה בגפו/ה" הרישום "לא"; כי הביקור מיום 18.12.2023 כלל לא יצא אל הפועל שכן איש לא נמצא בדירה; וכי הביקור מיום 3.7.2024 – הביקור היחיד שנערך לאחר פטירת הדייר החוזי – נערך, כלשון הרישום, "עם הבת".</w:t>
      </w:r>
    </w:p>
    <w:p>
      <w:pPr>
        <w:bidi w:val="1"/>
        <w:spacing w:lineRule="auto" w:line="360" w:after="160" w:before="0"/>
        <w:ind w:left="510" w:hanging="510"/>
        <w:jc w:val="both"/>
      </w:pPr>
      <w:r>
        <w:rPr>
          <w:rFonts w:ascii="David" w:hAnsi="David" w:cs="David" w:eastAsia="David"/>
          <w:b w:val="0"/>
          <w:sz w:val="24"/>
          <w:u w:val="none"/>
          <w:rtl w:val="1"/>
          <w:szCs w:val="24"/>
        </w:rPr>
        <w:t>3.</w:t>
        <w:tab/>
        <w:t>יתרה מכך; בנספח 4 לכתב התביעה, בשורת הביקור מיום 3.7.2024, סימנה התובעת בשתי המשבצות גם יחד: "דייר חוזי – גר: כן" ולצדו "דייר ממשיך – גר: כן". הא כיצד? הדייר החוזי הלך לבית עולמו ביום 16.2.2024, למעלה מארבעה חודשים וחצי קודם לכן. אין זאת אלא כי הטפסים אשר על יסודם מבקשת התובעת להוציא את הנתבעת מביתה מולאו כלאחר יד.</w:t>
      </w:r>
    </w:p>
    <w:p>
      <w:pPr>
        <w:bidi w:val="1"/>
        <w:spacing w:lineRule="auto" w:line="360" w:after="160" w:before="0"/>
        <w:ind w:left="510" w:hanging="510"/>
        <w:jc w:val="both"/>
      </w:pPr>
      <w:r>
        <w:rPr>
          <w:rFonts w:ascii="David" w:hAnsi="David" w:cs="David" w:eastAsia="David"/>
          <w:b w:val="0"/>
          <w:sz w:val="24"/>
          <w:u w:val="none"/>
          <w:rtl w:val="1"/>
          <w:szCs w:val="24"/>
        </w:rPr>
        <w:t>4.</w:t>
        <w:tab/>
        <w:t>הנה כי כן; התביעה דנא נשענת על מסכת ראייתית מתפוררת, על "החלטה" מנהלית בת שתי שורות בכתב יד נעדרת כל הנמקה, ועל תואר משפטי – "פלישה" – אשר התובעת עצמה מעולם לא סברה כי הוא חל על הנתבעת; שאם לא כן, לא היתה פותחת בעניינה תיק שכותרתו "בקשה להקניית זכויות כדייר ממשיך".</w:t>
      </w:r>
    </w:p>
    <w:p>
      <w:pPr>
        <w:bidi w:val="1"/>
        <w:spacing w:lineRule="auto" w:line="360" w:after="120" w:before="200"/>
        <w:jc w:val="right"/>
      </w:pPr>
      <w:r>
        <w:rPr>
          <w:rFonts w:ascii="David" w:hAnsi="David" w:cs="David" w:eastAsia="David"/>
          <w:b/>
          <w:sz w:val="24"/>
          <w:u w:val="single"/>
          <w:rtl w:val="1"/>
          <w:szCs w:val="24"/>
          <w:bCs w:val="1"/>
        </w:rPr>
        <w:t>טענות מקדמיות</w:t>
      </w:r>
    </w:p>
    <w:p>
      <w:pPr>
        <w:bidi w:val="1"/>
        <w:spacing w:lineRule="auto" w:line="360" w:after="80" w:before="160"/>
        <w:jc w:val="right"/>
      </w:pPr>
      <w:r>
        <w:rPr>
          <w:rFonts w:ascii="David" w:hAnsi="David" w:cs="David" w:eastAsia="David"/>
          <w:b/>
          <w:sz w:val="24"/>
          <w:u w:val="single"/>
          <w:rtl w:val="1"/>
          <w:szCs w:val="24"/>
          <w:bCs w:val="1"/>
        </w:rPr>
        <w:t>היעדר עילה – "פלישה" שלא היתה ולא נבראה</w:t>
      </w:r>
    </w:p>
    <w:p>
      <w:pPr>
        <w:bidi w:val="1"/>
        <w:spacing w:lineRule="auto" w:line="360" w:after="160" w:before="0"/>
        <w:ind w:left="510" w:hanging="510"/>
        <w:jc w:val="both"/>
      </w:pPr>
      <w:r>
        <w:rPr>
          <w:rFonts w:ascii="David" w:hAnsi="David" w:cs="David" w:eastAsia="David"/>
          <w:b w:val="0"/>
          <w:sz w:val="24"/>
          <w:u w:val="none"/>
          <w:rtl w:val="1"/>
          <w:szCs w:val="24"/>
        </w:rPr>
        <w:t>5.</w:t>
        <w:tab/>
        <w:t>כתב התביעה כולו נשען על הטענה כי הנתבעת "פלשה" אל הדירה "עם פטירת אביה המנוח" (סעיפים 9 ו-15 לכתב התביעה). ברם, אדם המתגורר בדירה מכוח רשות בת עשרות שנים, ואשר נותר בה לאחר פטירת מי שהתקשר בחוזה, אינו "פולש" לפי כל אמת מידה משפטית. ויודגש: בכל אחד ואחד מטופסי הביקור אשר צורפו כנספח 2 מצויה משבצת ייעודית שכותרתה "חשש לנטישה / נטישה / פלישה (נא להקיף בעיגול)" – ובאף לא אחד מהם, על פני חמש עשרה שנים, לא הוקף ולו סימון אחד. משכך, כתב התביעה, כפי שנוסח, אינו מגלה עילה ודינו להידחות.</w:t>
      </w:r>
    </w:p>
    <w:p>
      <w:pPr>
        <w:bidi w:val="1"/>
        <w:spacing w:lineRule="auto" w:line="360" w:after="80" w:before="160"/>
        <w:jc w:val="right"/>
      </w:pPr>
      <w:r>
        <w:rPr>
          <w:rFonts w:ascii="David" w:hAnsi="David" w:cs="David" w:eastAsia="David"/>
          <w:b/>
          <w:sz w:val="24"/>
          <w:u w:val="single"/>
          <w:rtl w:val="1"/>
          <w:szCs w:val="24"/>
          <w:bCs w:val="1"/>
        </w:rPr>
        <w:t>אי-צירוף מסמכים מהותיים – תקנה 15 לתקנות סדר הדין האזרחי</w:t>
      </w:r>
    </w:p>
    <w:p>
      <w:pPr>
        <w:bidi w:val="1"/>
        <w:spacing w:lineRule="auto" w:line="360" w:after="160" w:before="0"/>
        <w:ind w:left="510" w:hanging="510"/>
        <w:jc w:val="both"/>
      </w:pPr>
      <w:r>
        <w:rPr>
          <w:rFonts w:ascii="David" w:hAnsi="David" w:cs="David" w:eastAsia="David"/>
          <w:b w:val="0"/>
          <w:sz w:val="24"/>
          <w:u w:val="none"/>
          <w:rtl w:val="1"/>
          <w:szCs w:val="24"/>
        </w:rPr>
        <w:t>6.</w:t>
        <w:tab/>
        <w:t>התובעת טוענת בסעיף 16 לכתב התביעה כי "העתק תצהיר לרבות דוחות ביקור נציגי התובעת מצורף לכתב התביעה כנספח 2". דא עקא, תוכן הנספחים שערכה התובעת בעצמה מגלה כי נספח 2 מכיל "ביקורי מעגל" בלבד. תצהיר – אין. עוד נטען (סעיפים 11 ו-21) כי הנתבעת התבקשה לפנות את הדירה "מספר רב של פעמים" – ולא צורפה ולו דרישת פינוי אחת. וסעיף 2(ז) לחוזה השכירות מתנה את סיום השכירות ב"הודעה בכתב של שישים יום מראש" – ואף הודעה כאמור לא צורפה ולא נטענה. הא ותו לא.</w:t>
      </w:r>
    </w:p>
    <w:p>
      <w:pPr>
        <w:bidi w:val="1"/>
        <w:spacing w:lineRule="auto" w:line="360" w:after="80" w:before="160"/>
        <w:jc w:val="right"/>
      </w:pPr>
      <w:r>
        <w:rPr>
          <w:rFonts w:ascii="David" w:hAnsi="David" w:cs="David" w:eastAsia="David"/>
          <w:b/>
          <w:sz w:val="24"/>
          <w:u w:val="single"/>
          <w:rtl w:val="1"/>
          <w:szCs w:val="24"/>
          <w:bCs w:val="1"/>
        </w:rPr>
        <w:t>בטלות ההחלטה מיום 2.9.2024 – תקיפה עקיפה</w:t>
      </w:r>
    </w:p>
    <w:p>
      <w:pPr>
        <w:bidi w:val="1"/>
        <w:spacing w:lineRule="auto" w:line="360" w:after="160" w:before="0"/>
        <w:ind w:left="510" w:hanging="510"/>
        <w:jc w:val="both"/>
      </w:pPr>
      <w:r>
        <w:rPr>
          <w:rFonts w:ascii="David" w:hAnsi="David" w:cs="David" w:eastAsia="David"/>
          <w:b w:val="0"/>
          <w:sz w:val="24"/>
          <w:u w:val="none"/>
          <w:rtl w:val="1"/>
          <w:szCs w:val="24"/>
        </w:rPr>
        <w:t>7.</w:t>
        <w:tab/>
        <w:t>התובעת מכנה את המסמך שצורף כנספח 4 "פרוטוקול הוועדה המחוזית", וטוענת כי "ועדה מוסמכת בחנה את שאלת זכאותה של הנתבעת" (סעיפים 10 ו-18). ברם, כותרתו של המסמך היא "פרוטוקול ועדת לגליזציה מחוזית" – גוף פנימי של התובעת. ההחלטה כולה מסתכמת בשתי שורות בכתב יד. אין בה הנמקה כנדרש בחוק לתיקון סדרי המינהל (החלטות והנמקות), התשי"ט-1958; אין בה זכר לכך שהנתבעת זומנה, נשמעה או יוצגה; אין בה התייחסות לתשתית העובדתית או לתבחינים הנטענים; ולא צורפה כל ראיה כי ההחלטה הומצאה לנתבעת או כי הועמדה על זכות ההשגה עליה. החלטה מנהלית הפוגעת בזכות יסוד לקורת גג, אשר ניתנה כך – בטלה, ובית המשפט הנכבד מתבקש לקבוע כן במסגרת תקיפה עקיפה.</w:t>
      </w:r>
    </w:p>
    <w:p>
      <w:pPr>
        <w:bidi w:val="1"/>
        <w:spacing w:lineRule="auto" w:line="360" w:after="80" w:before="160"/>
        <w:jc w:val="right"/>
      </w:pPr>
      <w:r>
        <w:rPr>
          <w:rFonts w:ascii="David" w:hAnsi="David" w:cs="David" w:eastAsia="David"/>
          <w:b/>
          <w:sz w:val="24"/>
          <w:u w:val="single"/>
          <w:rtl w:val="1"/>
          <w:szCs w:val="24"/>
          <w:bCs w:val="1"/>
        </w:rPr>
        <w:t>היעדר צירוף ייפוי כוח מטעם התובעת – תקנה 9(ה)</w:t>
      </w:r>
    </w:p>
    <w:p>
      <w:pPr>
        <w:bidi w:val="1"/>
        <w:spacing w:lineRule="auto" w:line="360" w:after="160" w:before="0"/>
        <w:ind w:left="510" w:hanging="510"/>
        <w:jc w:val="both"/>
      </w:pPr>
      <w:r>
        <w:rPr>
          <w:rFonts w:ascii="David" w:hAnsi="David" w:cs="David" w:eastAsia="David"/>
          <w:b w:val="0"/>
          <w:sz w:val="24"/>
          <w:u w:val="none"/>
          <w:rtl w:val="1"/>
          <w:szCs w:val="24"/>
        </w:rPr>
        <w:t>8.</w:t>
        <w:tab/>
        <w:t>תקנה 9(ה) לתקנות סדר הדין האזרחי, התשע"ט-2018 מחייבת עורך דין לצרף לכתב הטענות הראשון את ייפוי הכוח "מטעם בעל הדין". ייפוי הכוח היחיד שצורף (עמוד 44 לכתב התביעה) הינו ייפוי כוח שניתן ביום 31.8.2025 בידי היועצת המשפטית לממשלה, לייצוג מדינת ישראל. ייפוי כוח מטעם התובעת – חברה בע"מ שהיא בעלת הדין דנא – לא צורף.</w:t>
      </w:r>
    </w:p>
    <w:p>
      <w:pPr>
        <w:bidi w:val="1"/>
        <w:spacing w:lineRule="auto" w:line="360" w:after="80" w:before="160"/>
        <w:jc w:val="right"/>
      </w:pPr>
      <w:r>
        <w:rPr>
          <w:rFonts w:ascii="David" w:hAnsi="David" w:cs="David" w:eastAsia="David"/>
          <w:b/>
          <w:sz w:val="24"/>
          <w:u w:val="single"/>
          <w:rtl w:val="1"/>
          <w:szCs w:val="24"/>
          <w:bCs w:val="1"/>
        </w:rPr>
        <w:t>שיהוי, ויתור והשתק</w:t>
      </w:r>
    </w:p>
    <w:p>
      <w:pPr>
        <w:bidi w:val="1"/>
        <w:spacing w:lineRule="auto" w:line="360" w:after="160" w:before="0"/>
        <w:ind w:left="510" w:hanging="510"/>
        <w:jc w:val="both"/>
      </w:pPr>
      <w:r>
        <w:rPr>
          <w:rFonts w:ascii="David" w:hAnsi="David" w:cs="David" w:eastAsia="David"/>
          <w:b w:val="0"/>
          <w:sz w:val="24"/>
          <w:u w:val="none"/>
          <w:rtl w:val="1"/>
          <w:szCs w:val="24"/>
        </w:rPr>
        <w:t>9.</w:t>
        <w:tab/>
        <w:t>הדייר החוזי הלך לבית עולמו ביום 16.2.2024; "ההחלטה" ניתנה ביום 2.9.2024; וכתב התביעה נחתם ביום 3.6.2026 – בחלוף למעלה מעשרים ואחד חודשים מן ההחלטה ולמעלה מעשרים ושמונה חודשים מן הפטירה. בכל אותה עת המשיכה התובעת לנהל את חשבון הדירה כחשבון פעיל, המשיכה לחייב בדמי שכירות, ואף זקפה הנחת מדרוג שתוקפה עד ליום 30.9.2024 – היינו, לאחר הפטירה. מי שנוהג כך במשך שנתיים וחצי מנוע ומושתק מלטעון כי מנגד ניצבת "פולשת".</w:t>
      </w:r>
    </w:p>
    <w:p>
      <w:pPr>
        <w:bidi w:val="1"/>
        <w:spacing w:lineRule="auto" w:line="360" w:after="120" w:before="200"/>
        <w:jc w:val="right"/>
      </w:pPr>
      <w:r>
        <w:rPr>
          <w:rFonts w:ascii="David" w:hAnsi="David" w:cs="David" w:eastAsia="David"/>
          <w:b/>
          <w:sz w:val="24"/>
          <w:u w:val="single"/>
          <w:rtl w:val="1"/>
          <w:szCs w:val="24"/>
          <w:bCs w:val="1"/>
        </w:rPr>
        <w:t>תמצית טענות ההגנה</w:t>
      </w:r>
    </w:p>
    <w:p>
      <w:pPr>
        <w:bidi w:val="1"/>
        <w:spacing w:lineRule="auto" w:line="360" w:after="160" w:before="0"/>
        <w:ind w:left="510" w:hanging="510"/>
        <w:jc w:val="both"/>
      </w:pPr>
      <w:r>
        <w:rPr>
          <w:rFonts w:ascii="David" w:hAnsi="David" w:cs="David" w:eastAsia="David"/>
          <w:b w:val="0"/>
          <w:sz w:val="24"/>
          <w:u w:val="none"/>
          <w:rtl w:val="1"/>
          <w:szCs w:val="24"/>
        </w:rPr>
        <w:t>10.</w:t>
        <w:tab/>
        <w:t>מבלי לגרוע מן הטענות המקדמיות, ולחלופין להן, להלן תמצית הגנת הנתבעת, לפי סדר עילות התביעה.</w:t>
      </w:r>
    </w:p>
    <w:p>
      <w:pPr>
        <w:bidi w:val="1"/>
        <w:spacing w:lineRule="auto" w:line="360" w:after="160" w:before="0"/>
        <w:ind w:left="510" w:hanging="510"/>
        <w:jc w:val="both"/>
      </w:pPr>
      <w:r>
        <w:rPr>
          <w:rFonts w:ascii="David" w:hAnsi="David" w:cs="David" w:eastAsia="David"/>
          <w:b w:val="0"/>
          <w:sz w:val="24"/>
          <w:u w:val="none"/>
          <w:rtl w:val="1"/>
          <w:szCs w:val="24"/>
        </w:rPr>
        <w:t>11.</w:t>
        <w:tab/>
        <w:t>ראשית, הנתבעת מתגוררת בדירה דנא מיום 8.8.1996 – הוא תאריך האכלוס הרשום בכל אחד ואחד מטופסי התובעת עצמה. הנתבעת עברה אל הדירה עם אביה בהיותה ילדה, וזו ביתה היחיד מאז ומעולם. מכתב המחלקה לשירותים חברתיים "ירקון" שבעיריית פתח תקווה מאשש זאת באורח עצמאי, בקובעו כי הנתבעת מתגוררת בדירה "מזה 30 שנה".</w:t>
      </w:r>
    </w:p>
    <w:p>
      <w:pPr>
        <w:bidi w:val="1"/>
        <w:spacing w:lineRule="auto" w:line="360" w:after="160" w:before="0"/>
        <w:ind w:left="510" w:hanging="510"/>
        <w:jc w:val="both"/>
      </w:pPr>
      <w:r>
        <w:rPr>
          <w:rFonts w:ascii="David" w:hAnsi="David" w:cs="David" w:eastAsia="David"/>
          <w:b w:val="0"/>
          <w:sz w:val="24"/>
          <w:u w:val="none"/>
          <w:rtl w:val="1"/>
          <w:szCs w:val="24"/>
        </w:rPr>
        <w:t>12.</w:t>
        <w:tab/>
        <w:t>שנית, הנתבעת עונה על הגדרת "דייר ממשיך" שבסעיף 1 לחוק זכויות הדייר בדיור הציבורי, התשנ"ח-1998: היא בתו של הזכאי, והיא התגוררה עמו בדירה הציבורית תקופה העולה כדי עשרות מונים על שלוש השנים הנדרשות בסמוך למועד פטירתו.</w:t>
      </w:r>
    </w:p>
    <w:p>
      <w:pPr>
        <w:bidi w:val="1"/>
        <w:spacing w:lineRule="auto" w:line="360" w:after="160" w:before="0"/>
        <w:ind w:left="510" w:hanging="510"/>
        <w:jc w:val="both"/>
      </w:pPr>
      <w:r>
        <w:rPr>
          <w:rFonts w:ascii="David" w:hAnsi="David" w:cs="David" w:eastAsia="David"/>
          <w:b w:val="0"/>
          <w:sz w:val="24"/>
          <w:u w:val="none"/>
          <w:rtl w:val="1"/>
          <w:szCs w:val="24"/>
        </w:rPr>
        <w:t>13.</w:t>
        <w:tab/>
        <w:t>שלישית, ולב לבו של העניין – הראיות המפריכות את התביעה הן ראיותיה של התובעת עצמה. בביקור מיום 3.8.2020 נרשם כי הדייר החוזי אינו גר בגפו; בביקור מיום 21.10.2021 נותר שדה זה ריק לחלוטין; הביקור מיום 18.12.2023 לא נערך כלל שכן איש לא נמצא בדירה; והביקור מיום 3.7.2024 נערך "עם הבת", ובגינו סימנה התובעת עצמה "דייר ממשיך – גר: כן". ודוק; אלו הן ארבע נקודות הזמן היחידות הרלוונטיות לתקופה הקבועה בחוק – ולא אחת מהן תומכת בתביעה.</w:t>
      </w:r>
    </w:p>
    <w:p>
      <w:pPr>
        <w:bidi w:val="1"/>
        <w:spacing w:lineRule="auto" w:line="360" w:after="160" w:before="0"/>
        <w:ind w:left="510" w:hanging="510"/>
        <w:jc w:val="both"/>
      </w:pPr>
      <w:r>
        <w:rPr>
          <w:rFonts w:ascii="David" w:hAnsi="David" w:cs="David" w:eastAsia="David"/>
          <w:b w:val="0"/>
          <w:sz w:val="24"/>
          <w:u w:val="none"/>
          <w:rtl w:val="1"/>
          <w:szCs w:val="24"/>
        </w:rPr>
        <w:t>14.</w:t>
        <w:tab/>
        <w:t>רביעית, ה"הצהרות" עליהן נסמכת התובעת (סעיף 16 לכתב התביעה) אינן ראויות למשקל כלשהו. ההצהרה היחידה הנושאת אזהרה כדין הינה מיום 28.10.2010 – למעלה משלוש עשרה שנים לפני הפטירה; יתר "ההצהרות" הינן טפסים מודפסים מראש שנוסחם "אני/ו גר/ה/ים לבדי/נו בדירה", אשר החלופות שבהם מעולם לא נמחקו. כולן נחתמו בידי עולה קשיש יליד 1943, ואף אחת מהן אינה אומרת דבר על התקופה הרלוונטית. הפירוט – בחלק השלישי להלן.</w:t>
      </w:r>
    </w:p>
    <w:p>
      <w:pPr>
        <w:bidi w:val="1"/>
        <w:spacing w:lineRule="auto" w:line="360" w:after="160" w:before="0"/>
        <w:ind w:left="510" w:hanging="510"/>
        <w:jc w:val="both"/>
      </w:pPr>
      <w:r>
        <w:rPr>
          <w:rFonts w:ascii="David" w:hAnsi="David" w:cs="David" w:eastAsia="David"/>
          <w:b w:val="0"/>
          <w:sz w:val="24"/>
          <w:u w:val="none"/>
          <w:rtl w:val="1"/>
          <w:szCs w:val="24"/>
        </w:rPr>
        <w:t>15.</w:t>
        <w:tab/>
        <w:t>חמישית, גורם הרווחה המוסמך – המחלקה לשירותים חברתיים בעיריית פתח תקווה – פנה בכתב וביקש מפורשות להימנע מהוצאת הנתבעת מן הדירה. הנתבעת מוכרת לרווחה "לאורך שנים", מתמודדת עם נכות נפשית ועם פיברומיאלגיה, מקבלת קצבת נכות בשיעור 100% מן המוסד לביטוח לאומי, ואינה מסוגלת, כלשון המכתב, "להתמודד עם מעברים ושינויים". התובעת, כרשות ציבורית, אינה רשאית להתעלם מעמדתו של גורם מקצועי מוסמך זה.</w:t>
      </w:r>
    </w:p>
    <w:p>
      <w:pPr>
        <w:bidi w:val="1"/>
        <w:spacing w:lineRule="auto" w:line="360" w:after="120" w:before="200"/>
        <w:jc w:val="right"/>
      </w:pPr>
      <w:r>
        <w:rPr>
          <w:rFonts w:ascii="David" w:hAnsi="David" w:cs="David" w:eastAsia="David"/>
          <w:b/>
          <w:sz w:val="24"/>
          <w:u w:val="single"/>
          <w:rtl w:val="1"/>
          <w:szCs w:val="24"/>
          <w:bCs w:val="1"/>
        </w:rPr>
        <w:t>טיעונים לעניין הסעד המבוקש</w:t>
      </w:r>
    </w:p>
    <w:p>
      <w:pPr>
        <w:bidi w:val="1"/>
        <w:spacing w:lineRule="auto" w:line="360" w:after="160" w:before="0"/>
        <w:ind w:left="510" w:hanging="510"/>
        <w:jc w:val="both"/>
      </w:pPr>
      <w:r>
        <w:rPr>
          <w:rFonts w:ascii="David" w:hAnsi="David" w:cs="David" w:eastAsia="David"/>
          <w:b w:val="0"/>
          <w:sz w:val="24"/>
          <w:u w:val="none"/>
          <w:rtl w:val="1"/>
          <w:szCs w:val="24"/>
        </w:rPr>
        <w:t>16.</w:t>
        <w:tab/>
        <w:t>דין התביעה להידחות על הסף, ולחלופין לגופה. הסעד של סילוק יד הינו סעד שבשיקול דעת, וממילא אין להיעתר לו מקום שהמבקש אותו הוא רשות ציבורית אשר ראיותיה סותרות את טענותיה, אשר לא קיימה שימוע, לא נימקה את החלטתה ולא המציאה אותה.</w:t>
      </w:r>
    </w:p>
    <w:p>
      <w:pPr>
        <w:bidi w:val="1"/>
        <w:spacing w:lineRule="auto" w:line="360" w:after="160" w:before="0"/>
        <w:ind w:left="510" w:hanging="510"/>
        <w:jc w:val="both"/>
      </w:pPr>
      <w:r>
        <w:rPr>
          <w:rFonts w:ascii="David" w:hAnsi="David" w:cs="David" w:eastAsia="David"/>
          <w:b w:val="0"/>
          <w:sz w:val="24"/>
          <w:u w:val="none"/>
          <w:rtl w:val="1"/>
          <w:szCs w:val="24"/>
        </w:rPr>
        <w:t>17.</w:t>
        <w:tab/>
        <w:t>מבלי לגרוע מן האמור, ולחלופין בלבד – ככל שיסבור בית המשפט הנכבד כי יש ממש בטענות התובעת, ואין זה המצב – מתבקש בית המשפט הנכבד להורות כי לא יינתן צו פינוי בטרם תובא עניינה של הנתבעת בפני הוועדה המוסמכת לבחינת מקרים חריגים מטעמים הומניטריים, כשלפניה מכתב גורם הרווחה, ובטרם יוסדר לנתבעת פתרון דיור חלופי הולם. פינוי אישה נכת 100% מביתה היחיד אל הרחוב אינו עולה בקנה אחד עם חוק-יסוד: כבוד האדם וחירותו, עם חובת ההתאמות שבחוק שוויון זכויות לאנשים עם מוגבלות, התשנ"ח-1998, ועם תכליתו של חוק זכויות הדייר בדיור הציבורי, התשנ"ח-1998.</w:t>
      </w:r>
    </w:p>
    <w:p>
      <w:pPr>
        <w:bidi w:val="1"/>
        <w:spacing w:lineRule="auto" w:line="360" w:after="160" w:before="0"/>
        <w:ind w:left="510" w:hanging="510"/>
        <w:jc w:val="both"/>
      </w:pPr>
      <w:r>
        <w:rPr>
          <w:rFonts w:ascii="David" w:hAnsi="David" w:cs="David" w:eastAsia="David"/>
          <w:b w:val="0"/>
          <w:sz w:val="24"/>
          <w:u w:val="none"/>
          <w:rtl w:val="1"/>
          <w:szCs w:val="24"/>
        </w:rPr>
        <w:t>18.</w:t>
        <w:tab/>
        <w:t>ולחלופי חלופין, ככל שייקבע כי דין הדירה להתפנות – מתבקש בית המשפט הנכבד לעכב את ביצוע הפינוי לתקופה משמעותית, ההולמת את מצבה הרפואי והנפשי של הנתבעת ואת שלושים שנות מגוריה בדירה.</w:t>
      </w:r>
    </w:p>
    <w:p>
      <w:pPr>
        <w:bidi w:val="1"/>
        <w:spacing w:lineRule="auto" w:line="360" w:after="160" w:before="0"/>
        <w:ind w:left="510" w:hanging="510"/>
        <w:jc w:val="both"/>
      </w:pPr>
      <w:r>
        <w:rPr>
          <w:rFonts w:ascii="David" w:hAnsi="David" w:cs="David" w:eastAsia="David"/>
          <w:b w:val="0"/>
          <w:sz w:val="24"/>
          <w:u w:val="none"/>
          <w:rtl w:val="1"/>
          <w:szCs w:val="24"/>
        </w:rPr>
        <w:t>19.</w:t>
        <w:tab/>
        <w:t>אשר לעתירת התובעת לחיוב הנתבעת ב"הוצאות משפט מוגברות" בשל "התנהלותה המקוממת" (סעיף 24 לכתב התביעה) – דינה להידחות מכל וכל. ההתנהלות המקוממת בהליך דנא אינה של הנתבעת.</w:t>
      </w:r>
    </w:p>
    <w:p>
      <w:r>
        <w:br w:type="page"/>
      </w:r>
    </w:p>
    <w:p>
      <w:pPr>
        <w:bidi w:val="1"/>
        <w:spacing w:lineRule="auto" w:line="360" w:after="160" w:before="0"/>
        <w:jc w:val="center"/>
      </w:pPr>
      <w:r>
        <w:rPr>
          <w:rFonts w:ascii="David" w:hAnsi="David" w:cs="David" w:eastAsia="David"/>
          <w:b/>
          <w:sz w:val="28"/>
          <w:u w:val="single"/>
          <w:rtl w:val="1"/>
          <w:szCs w:val="28"/>
          <w:bCs w:val="1"/>
        </w:rPr>
        <w:t>חלק שלישי – טיעון עובדתי</w:t>
      </w:r>
    </w:p>
    <w:p>
      <w:pPr>
        <w:bidi w:val="1"/>
        <w:spacing w:lineRule="auto" w:line="360" w:after="120" w:before="200"/>
        <w:jc w:val="right"/>
      </w:pPr>
      <w:r>
        <w:rPr>
          <w:rFonts w:ascii="David" w:hAnsi="David" w:cs="David" w:eastAsia="David"/>
          <w:b/>
          <w:sz w:val="24"/>
          <w:u w:val="single"/>
          <w:rtl w:val="1"/>
          <w:szCs w:val="24"/>
          <w:bCs w:val="1"/>
        </w:rPr>
        <w:t>הרקע העובדתי</w:t>
      </w:r>
    </w:p>
    <w:p>
      <w:pPr>
        <w:bidi w:val="1"/>
        <w:spacing w:lineRule="auto" w:line="360" w:after="160" w:before="0"/>
        <w:ind w:left="510" w:hanging="510"/>
        <w:jc w:val="both"/>
      </w:pPr>
      <w:r>
        <w:rPr>
          <w:rFonts w:ascii="David" w:hAnsi="David" w:cs="David" w:eastAsia="David"/>
          <w:b w:val="0"/>
          <w:sz w:val="24"/>
          <w:u w:val="none"/>
          <w:rtl w:val="1"/>
          <w:szCs w:val="24"/>
        </w:rPr>
        <w:t>20.</w:t>
        <w:tab/>
        <w:t>ביום 29.8.1996 נחתם בין התובעת לבין מר מנבר וונדימאג'ן ז"ל, ת.ז. 303214381 (להלן: "המנוח"), חוזה שכירות ביחס לדירה בת שלושה חדרים ברח' צה"ל 72, דירה 6, פתח תקווה (להלן: "הדירה"). ביום 8.8.1996 נמסרה החזקה בדירה, וממועד זה ואילך רשומה הדירה בספרי התובעת כמאוכלסת. חוזה השכירות צורף כנספח 1 לכתב התביעה.</w:t>
      </w:r>
    </w:p>
    <w:p>
      <w:pPr>
        <w:bidi w:val="1"/>
        <w:spacing w:lineRule="auto" w:line="360" w:after="160" w:before="0"/>
        <w:ind w:left="510" w:hanging="510"/>
        <w:jc w:val="both"/>
      </w:pPr>
      <w:r>
        <w:rPr>
          <w:rFonts w:ascii="David" w:hAnsi="David" w:cs="David" w:eastAsia="David"/>
          <w:b w:val="0"/>
          <w:sz w:val="24"/>
          <w:u w:val="none"/>
          <w:rtl w:val="1"/>
          <w:szCs w:val="24"/>
        </w:rPr>
        <w:t>21.</w:t>
        <w:tab/>
        <w:t>המנוח, יליד 23.9.1943, עלה לישראל מאתיופיה ביום 25.5.1991. הנתבעת, בתו, ילידת שנת 1984 בקירוב, עברה להתגורר עמו בדירה עם אכלוסה בשנת 1996, בהיותה ילדה כבת שתים עשרה, והיא מתגוררת בה ברציפות מאז ועד עצם היום הזה – מזה שלושים שנה.</w:t>
      </w:r>
    </w:p>
    <w:p>
      <w:pPr>
        <w:bidi w:val="1"/>
        <w:spacing w:lineRule="auto" w:line="360" w:after="160" w:before="0"/>
        <w:ind w:left="510" w:hanging="510"/>
        <w:jc w:val="both"/>
      </w:pPr>
      <w:r>
        <w:rPr>
          <w:rFonts w:ascii="David" w:hAnsi="David" w:cs="David" w:eastAsia="David"/>
          <w:b w:val="0"/>
          <w:sz w:val="24"/>
          <w:u w:val="none"/>
          <w:rtl w:val="1"/>
          <w:szCs w:val="24"/>
        </w:rPr>
        <w:t>22.</w:t>
        <w:tab/>
        <w:t>בטופסי התובעת עצמה נרשם מצבו המשפחתי של המנוח כ"חד הורי", ובהמשך כ"גרוש". ודוק; אב חד-הורי אינו אב לבדו; הא ותו לא.</w:t>
      </w:r>
    </w:p>
    <w:p>
      <w:pPr>
        <w:bidi w:val="1"/>
        <w:spacing w:lineRule="auto" w:line="360" w:after="160" w:before="0"/>
        <w:ind w:left="510" w:hanging="510"/>
        <w:jc w:val="both"/>
      </w:pPr>
      <w:r>
        <w:rPr>
          <w:rFonts w:ascii="David" w:hAnsi="David" w:cs="David" w:eastAsia="David"/>
          <w:b w:val="0"/>
          <w:sz w:val="24"/>
          <w:u w:val="none"/>
          <w:rtl w:val="1"/>
          <w:szCs w:val="24"/>
        </w:rPr>
        <w:t>23.</w:t>
        <w:tab/>
        <w:t>המנוח הלך לבית עולמו ביום 16.2.2024 בבית החולים בילינסון. תעודת הפטירה, אשר צורפה כנספח 3 לכתב התביעה, הופקה ביום 10.3.2024 – ונשלחה, על פני המסמך, אל "טדילה וונדימאגן, צה"ל 72 דירה 6, פתח תקווה". היינו: רשות האוכלוסין וההגירה עצמה ראתה בנתבעת את מי שמענה בדירה דנא.</w:t>
      </w:r>
    </w:p>
    <w:p>
      <w:pPr>
        <w:bidi w:val="1"/>
        <w:spacing w:lineRule="auto" w:line="360" w:after="120" w:before="200"/>
        <w:jc w:val="right"/>
      </w:pPr>
      <w:r>
        <w:rPr>
          <w:rFonts w:ascii="David" w:hAnsi="David" w:cs="David" w:eastAsia="David"/>
          <w:b/>
          <w:sz w:val="24"/>
          <w:u w:val="single"/>
          <w:rtl w:val="1"/>
          <w:szCs w:val="24"/>
          <w:bCs w:val="1"/>
        </w:rPr>
        <w:t>ביקורי המעגל – מסכת ראייתית מתפוררת</w:t>
      </w:r>
    </w:p>
    <w:p>
      <w:pPr>
        <w:bidi w:val="1"/>
        <w:spacing w:lineRule="auto" w:line="360" w:after="160" w:before="0"/>
        <w:ind w:left="510" w:hanging="510"/>
        <w:jc w:val="both"/>
      </w:pPr>
      <w:r>
        <w:rPr>
          <w:rFonts w:ascii="David" w:hAnsi="David" w:cs="David" w:eastAsia="David"/>
          <w:b w:val="0"/>
          <w:sz w:val="24"/>
          <w:u w:val="none"/>
          <w:rtl w:val="1"/>
          <w:szCs w:val="24"/>
        </w:rPr>
        <w:t>24.</w:t>
        <w:tab/>
        <w:t>כאמור, התובעת סומכת את תביעתה על "ביקורי מעגל" שנערכו על ידי נציגיה. הנתבעת תטען כי עיון בהם מלמד את ההפך הגמור מן הנטען, וכי אלו הם פני הדברים בתקופה הרלוונטית.</w:t>
      </w:r>
    </w:p>
    <w:p>
      <w:pPr>
        <w:bidi w:val="1"/>
        <w:spacing w:lineRule="auto" w:line="360" w:after="160" w:before="0"/>
        <w:ind w:left="510" w:hanging="510"/>
        <w:jc w:val="both"/>
      </w:pPr>
      <w:r>
        <w:rPr>
          <w:rFonts w:ascii="David" w:hAnsi="David" w:cs="David" w:eastAsia="David"/>
          <w:b w:val="0"/>
          <w:sz w:val="24"/>
          <w:u w:val="none"/>
          <w:rtl w:val="1"/>
          <w:szCs w:val="24"/>
        </w:rPr>
        <w:t>25.</w:t>
        <w:tab/>
        <w:t>בביקור מיום 3.8.2020, שנערך בידי הגב' ויקטוריה לוי, נרשם בשדה "גר/ה בגפו/ה" – "לא". זוהי רשומה מוסדית של התובעת עצמה, הקובעת בזמן אמת כי המנוח לא התגורר בדירה לבדו.</w:t>
      </w:r>
    </w:p>
    <w:p>
      <w:pPr>
        <w:bidi w:val="1"/>
        <w:spacing w:lineRule="auto" w:line="360" w:after="160" w:before="0"/>
        <w:ind w:left="510" w:hanging="510"/>
        <w:jc w:val="both"/>
      </w:pPr>
      <w:r>
        <w:rPr>
          <w:rFonts w:ascii="David" w:hAnsi="David" w:cs="David" w:eastAsia="David"/>
          <w:b w:val="0"/>
          <w:sz w:val="24"/>
          <w:u w:val="none"/>
          <w:rtl w:val="1"/>
          <w:szCs w:val="24"/>
        </w:rPr>
        <w:t>26.</w:t>
        <w:tab/>
        <w:t>בביקור מיום 21.10.2021, שנערך בידי הגב' נטלי לוגסי, נותרו שתי המשבצות שליד השאלה "האם גר/ה בגפו/ה" ריקות לחלוטין; דבר לא הוקף ליד "חשש לנטישה/נטישה/פלישה"; ובמשבצת "בביקור זה – מסכים לעבור" סומן "מעוניין להישאר". יצוין כי מועד הביקור הנקוב בגוף הטופס (21.10.2021) אף אינו עולה בקנה אחד עם המועד שאישר הרכז בשולי אותו טופס עצמו (10.11.2021).</w:t>
      </w:r>
    </w:p>
    <w:p>
      <w:pPr>
        <w:bidi w:val="1"/>
        <w:spacing w:lineRule="auto" w:line="360" w:after="160" w:before="0"/>
        <w:ind w:left="510" w:hanging="510"/>
        <w:jc w:val="both"/>
      </w:pPr>
      <w:r>
        <w:rPr>
          <w:rFonts w:ascii="David" w:hAnsi="David" w:cs="David" w:eastAsia="David"/>
          <w:b w:val="0"/>
          <w:sz w:val="24"/>
          <w:u w:val="none"/>
          <w:rtl w:val="1"/>
          <w:szCs w:val="24"/>
        </w:rPr>
        <w:t>27.</w:t>
        <w:tab/>
        <w:t>בביקור מיום 3.8.2022 נרשם בשדה ההערות מילה אחת בלבד – "נקבע" – והטופס נחתם בחותמת "מסרב לחתום".</w:t>
      </w:r>
    </w:p>
    <w:p>
      <w:pPr>
        <w:bidi w:val="1"/>
        <w:spacing w:lineRule="auto" w:line="360" w:after="160" w:before="0"/>
        <w:ind w:left="510" w:hanging="510"/>
        <w:jc w:val="both"/>
      </w:pPr>
      <w:r>
        <w:rPr>
          <w:rFonts w:ascii="David" w:hAnsi="David" w:cs="David" w:eastAsia="David"/>
          <w:b w:val="0"/>
          <w:sz w:val="24"/>
          <w:u w:val="none"/>
          <w:rtl w:val="1"/>
          <w:szCs w:val="24"/>
        </w:rPr>
        <w:t>28.</w:t>
        <w:tab/>
        <w:t>בביקור מיום 18.12.2023 – הביקור האחרון בחיי המנוח – נרשם מפורשות: "נקבע מספר פעמים ביקור בית, הדייר אומר אני אהיה בבית, לא נמצא". ודוק; ביקור אשר לא יצא אל הפועל, ואשר בו לא נמצא איש בדירה, אינו יכול ללמד דבר וחצי דבר על זהות המתגוררים בה. חרף זאת, גם על טופס זה הוטבעה חותמת "מסרב לחתום" – ותמהני, מי בדיוק סירב לחתום, אם איש לא נמצא בדירה. אף שדה "גר/ה בגפו/ה" נותר בטופס זה ריק.</w:t>
      </w:r>
    </w:p>
    <w:p>
      <w:pPr>
        <w:bidi w:val="1"/>
        <w:spacing w:lineRule="auto" w:line="360" w:after="160" w:before="0"/>
        <w:ind w:left="510" w:hanging="510"/>
        <w:jc w:val="both"/>
      </w:pPr>
      <w:r>
        <w:rPr>
          <w:rFonts w:ascii="David" w:hAnsi="David" w:cs="David" w:eastAsia="David"/>
          <w:b w:val="0"/>
          <w:sz w:val="24"/>
          <w:u w:val="none"/>
          <w:rtl w:val="1"/>
          <w:szCs w:val="24"/>
        </w:rPr>
        <w:t>29.</w:t>
        <w:tab/>
        <w:t>ולבסוף – הביקור מיום 3.7.2024, הוא הביקור היחיד שנערך לאחר הפטירה, ואשר בו נרשם בשדה ההערות: "דייר חוזי נפטר, ביקור עם הבת". היינו: נציגת התובעת הגיעה אל הדירה, מצאה בה את בתו של המנוח, וערכה עמה את הביקור. אין זאת אלא כי הנתבעת היתה בדירה, בביתה.</w:t>
      </w:r>
    </w:p>
    <w:p>
      <w:pPr>
        <w:bidi w:val="1"/>
        <w:spacing w:lineRule="auto" w:line="360" w:after="160" w:before="0"/>
        <w:ind w:left="510" w:hanging="510"/>
        <w:jc w:val="both"/>
      </w:pPr>
      <w:r>
        <w:rPr>
          <w:rFonts w:ascii="David" w:hAnsi="David" w:cs="David" w:eastAsia="David"/>
          <w:b w:val="0"/>
          <w:sz w:val="24"/>
          <w:u w:val="none"/>
          <w:rtl w:val="1"/>
          <w:szCs w:val="24"/>
        </w:rPr>
        <w:t>30.</w:t>
        <w:tab/>
        <w:t>הנה כי כן; מן המסמכים שצירפה התובעת עצמה עולה כי בתקופת שלוש השנים שקדמה לפטירה נערכו שלושה ביקורים בלבד – ואף לא אחד מהם קבע כי הנתבעת אינה מתגוררת בדירה. באחד לא נמצא איש; באחד נרשמה מילה אחת; ובאחד נותר השדה הרלוונטי ריק. על יסוד זה, ורק על יסוד זה, מבקשת התובעת להוציא את הנתבעת מביתה.</w:t>
      </w:r>
    </w:p>
    <w:p>
      <w:pPr>
        <w:bidi w:val="1"/>
        <w:spacing w:lineRule="auto" w:line="360" w:after="120" w:before="200"/>
        <w:jc w:val="right"/>
      </w:pPr>
      <w:r>
        <w:rPr>
          <w:rFonts w:ascii="David" w:hAnsi="David" w:cs="David" w:eastAsia="David"/>
          <w:b/>
          <w:sz w:val="24"/>
          <w:u w:val="single"/>
          <w:rtl w:val="1"/>
          <w:szCs w:val="24"/>
          <w:bCs w:val="1"/>
        </w:rPr>
        <w:t>"ההצהרות" – טפסים מודפסים מראש שלא מולאו</w:t>
      </w:r>
    </w:p>
    <w:p>
      <w:pPr>
        <w:bidi w:val="1"/>
        <w:spacing w:lineRule="auto" w:line="360" w:after="160" w:before="0"/>
        <w:ind w:left="510" w:hanging="510"/>
        <w:jc w:val="both"/>
      </w:pPr>
      <w:r>
        <w:rPr>
          <w:rFonts w:ascii="David" w:hAnsi="David" w:cs="David" w:eastAsia="David"/>
          <w:b w:val="0"/>
          <w:sz w:val="24"/>
          <w:u w:val="none"/>
          <w:rtl w:val="1"/>
          <w:szCs w:val="24"/>
        </w:rPr>
        <w:t>31.</w:t>
        <w:tab/>
        <w:t>בסעיף 16 לכתב התביעה טוענת התובעת כי המנוח "הצהיר בפני נציגי התובעת כי גר בדירה בגפו". כאמור לעיל, התצהיר הנטען כלל לא צורף. ומכל מקום, המסמכים המצויים בגוף נספח 2 אינם יכולים לשאת את המשקל שמבקשת התובעת להעמיס עליהם.</w:t>
      </w:r>
    </w:p>
    <w:p>
      <w:pPr>
        <w:bidi w:val="1"/>
        <w:spacing w:lineRule="auto" w:line="360" w:after="160" w:before="0"/>
        <w:ind w:left="510" w:hanging="510"/>
        <w:jc w:val="both"/>
      </w:pPr>
      <w:r>
        <w:rPr>
          <w:rFonts w:ascii="David" w:hAnsi="David" w:cs="David" w:eastAsia="David"/>
          <w:b w:val="0"/>
          <w:sz w:val="24"/>
          <w:u w:val="none"/>
          <w:rtl w:val="1"/>
          <w:szCs w:val="24"/>
        </w:rPr>
        <w:t>32.</w:t>
        <w:tab/>
        <w:t>ההצהרה מיום 28.10.2010 היא היחידה הנושאת אזהרה כדין. ברם, היא נחתמה למעלה משלוש עשרה שנים לפני הפטירה, ואינה אומרת דבר על התקופה הקבועה בחוק. זאת ועוד; בטופס הביקור אשר נלווה אליה נרשם, בכתב יד, כי הביקור נערך בשפה האמהרית – בעוד ששדה "נכח מתורגם" (שם, ת.ז. וחתימה) נותר ריק כליל.</w:t>
      </w:r>
    </w:p>
    <w:p>
      <w:pPr>
        <w:bidi w:val="1"/>
        <w:spacing w:lineRule="auto" w:line="360" w:after="160" w:before="0"/>
        <w:ind w:left="510" w:hanging="510"/>
        <w:jc w:val="both"/>
      </w:pPr>
      <w:r>
        <w:rPr>
          <w:rFonts w:ascii="David" w:hAnsi="David" w:cs="David" w:eastAsia="David"/>
          <w:b w:val="0"/>
          <w:sz w:val="24"/>
          <w:u w:val="none"/>
          <w:rtl w:val="1"/>
          <w:szCs w:val="24"/>
        </w:rPr>
        <w:t>33.</w:t>
        <w:tab/>
        <w:t>"ההצהרות" מיום 21.6.2018 ומיום 10.11.2021 הינן טפסים מודפסים מראש, שנוסחם: "הריני להצהיר כי אני/ו גר/ה/ים לבדי/נו בדירה". החלופות מעולם לא נמחקו; דבר לא הותאם לנסיבותיו של המנוח; שדה "קרובי משפחה להתקשרות במצב חירום" נותר ריק בכל אחת מהן; ואף אזהרה כדין אין בהן. הא ותו לא.</w:t>
      </w:r>
    </w:p>
    <w:p>
      <w:pPr>
        <w:bidi w:val="1"/>
        <w:spacing w:lineRule="auto" w:line="360" w:after="120" w:before="200"/>
        <w:jc w:val="right"/>
      </w:pPr>
      <w:r>
        <w:rPr>
          <w:rFonts w:ascii="David" w:hAnsi="David" w:cs="David" w:eastAsia="David"/>
          <w:b/>
          <w:sz w:val="24"/>
          <w:u w:val="single"/>
          <w:rtl w:val="1"/>
          <w:szCs w:val="24"/>
          <w:bCs w:val="1"/>
        </w:rPr>
        <w:t>ההחלטה מיום 2.9.2024</w:t>
      </w:r>
    </w:p>
    <w:p>
      <w:pPr>
        <w:bidi w:val="1"/>
        <w:spacing w:lineRule="auto" w:line="360" w:after="160" w:before="0"/>
        <w:ind w:left="510" w:hanging="510"/>
        <w:jc w:val="both"/>
      </w:pPr>
      <w:r>
        <w:rPr>
          <w:rFonts w:ascii="David" w:hAnsi="David" w:cs="David" w:eastAsia="David"/>
          <w:b w:val="0"/>
          <w:sz w:val="24"/>
          <w:u w:val="none"/>
          <w:rtl w:val="1"/>
          <w:szCs w:val="24"/>
        </w:rPr>
        <w:t>34.</w:t>
        <w:tab/>
        <w:t>נספח 4 לכתב התביעה נושא את הכותרת "פרוטוקול ועדת לגליזציה מחוזית", ולא כותרת אחרת. בגוף הטופס נרשם, בפירוש, כי הוא נערך במסגרת "בקשה להקניית זכויות כדייר ממשיך", כאשר תחת הכותרת "פרטי המבקשים" מופיע שמה של הנתבעת. ודוק; התובעת עצמה סיווגה את הנתבעת כמבקשת זכויות דייר ממשיך – ולא כפולשת. אין אדם פותח תיק להקניית זכויות למי שפלש לנכסו.</w:t>
      </w:r>
    </w:p>
    <w:p>
      <w:pPr>
        <w:bidi w:val="1"/>
        <w:spacing w:lineRule="auto" w:line="360" w:after="160" w:before="0"/>
        <w:ind w:left="510" w:hanging="510"/>
        <w:jc w:val="both"/>
      </w:pPr>
      <w:r>
        <w:rPr>
          <w:rFonts w:ascii="David" w:hAnsi="David" w:cs="David" w:eastAsia="David"/>
          <w:b w:val="0"/>
          <w:sz w:val="24"/>
          <w:u w:val="none"/>
          <w:rtl w:val="1"/>
          <w:szCs w:val="24"/>
        </w:rPr>
        <w:t>35.</w:t>
        <w:tab/>
        <w:t>בטבלת הביקורים שבאותו טופס נרשמה, בשורת הביקור מיום 3.7.2024, התשובה "כן" תחת הכותרת "דייר ממשיך – גר". ובאותה שורה ממש נרשמה התשובה "כן" אף תחת הכותרת "דייר חוזי – גר" – זאת ביחס לאדם שהלך לבית עולמו ארבעה חודשים וחצי קודם לכן. די בכך, כשלעצמו, כדי ללמד על מידת הדקדוק שבה נערכה התשתית שעליה נשענת התביעה דנא.</w:t>
      </w:r>
    </w:p>
    <w:p>
      <w:pPr>
        <w:bidi w:val="1"/>
        <w:spacing w:lineRule="auto" w:line="360" w:after="160" w:before="0"/>
        <w:ind w:left="510" w:hanging="510"/>
        <w:jc w:val="both"/>
      </w:pPr>
      <w:r>
        <w:rPr>
          <w:rFonts w:ascii="David" w:hAnsi="David" w:cs="David" w:eastAsia="David"/>
          <w:b w:val="0"/>
          <w:sz w:val="24"/>
          <w:u w:val="none"/>
          <w:rtl w:val="1"/>
          <w:szCs w:val="24"/>
        </w:rPr>
        <w:t>36.</w:t>
        <w:tab/>
        <w:t>"החלטת הוועדה המחוזית" עצמה מסתכמת בשתי שורות בכתב יד, שחלקן אינו ניתן לפענוח. אין בה הנמקה; אין בה התייחסות לתבחינים; אין בה זכר לכך שהנתבעת זומנה או נשמעה; ולא הוצגה כל ראיה כי הומצאה לנתבעת או כי הועמדה על זכותה להשיג עליה. יתרה מכך, בטופס מופיע מועד חתימת סגן מנהל מרכז השירות – 1.11.2023 – היינו, כשלושה חודשים וחצי לפני שנפטר המנוח וכעשרה חודשים לפני מועד ההחלטה.</w:t>
      </w:r>
    </w:p>
    <w:p>
      <w:pPr>
        <w:bidi w:val="1"/>
        <w:spacing w:lineRule="auto" w:line="360" w:after="160" w:before="0"/>
        <w:ind w:left="510" w:hanging="510"/>
        <w:jc w:val="both"/>
      </w:pPr>
      <w:r>
        <w:rPr>
          <w:rFonts w:ascii="David" w:hAnsi="David" w:cs="David" w:eastAsia="David"/>
          <w:b w:val="0"/>
          <w:sz w:val="24"/>
          <w:u w:val="none"/>
          <w:rtl w:val="1"/>
          <w:szCs w:val="24"/>
        </w:rPr>
        <w:t>37.</w:t>
        <w:tab/>
        <w:t>הלכה פסוקה היא כי רשות ציבורית חבה בחובת הגינות מוגברת, וכי החלטה מנהלית הפוגעת בזכות לקורת גג מחייבת תשתית עובדתית ראויה, שימוע והנמקה. הפסיקה אשר התובעת עצמה נסמכת עליה (עע"ם 6390/21 אלמון נ' משרד הבינוי והשיכון; עע"ם 2414/17 קלדרון נ' חלמיש; עע"ם 3351/13 נתנאל נ' חלמיש; רע"א 3798/07 זריהן נ' עמידר) עוסקת בנטל המוטל על הטוען למעמד של דייר ממשיך – ואין בה כדי לפטור את הרשות מחובותיה שלה. בענייננו, לא זו בלבד שהנתבעת עומדת בנטל, אלא שהתובעת היא שכשלה בחובתה.</w:t>
      </w:r>
    </w:p>
    <w:p>
      <w:pPr>
        <w:bidi w:val="1"/>
        <w:spacing w:lineRule="auto" w:line="360" w:after="120" w:before="200"/>
        <w:jc w:val="right"/>
      </w:pPr>
      <w:r>
        <w:rPr>
          <w:rFonts w:ascii="David" w:hAnsi="David" w:cs="David" w:eastAsia="David"/>
          <w:b/>
          <w:sz w:val="24"/>
          <w:u w:val="single"/>
          <w:rtl w:val="1"/>
          <w:szCs w:val="24"/>
          <w:bCs w:val="1"/>
        </w:rPr>
        <w:t>מכתב גורם הרווחה והמלצתו</w:t>
      </w:r>
    </w:p>
    <w:p>
      <w:pPr>
        <w:bidi w:val="1"/>
        <w:spacing w:lineRule="auto" w:line="360" w:after="160" w:before="0"/>
        <w:ind w:left="510" w:hanging="510"/>
        <w:jc w:val="both"/>
      </w:pPr>
      <w:r>
        <w:rPr>
          <w:rFonts w:ascii="David" w:hAnsi="David" w:cs="David" w:eastAsia="David"/>
          <w:b w:val="0"/>
          <w:sz w:val="24"/>
          <w:u w:val="none"/>
          <w:rtl w:val="1"/>
          <w:szCs w:val="24"/>
        </w:rPr>
        <w:t>38.</w:t>
        <w:tab/>
        <w:t>ביום חודש יולי 2026 פנתה המחלקה לשירותים חברתיים "ירקון" שבמינהל השירותים החברתיים בעיריית פתח תקווה במכתב "לכל מאן דבעי" שעניינו הנתבעת. מכתב זה מצ"ב ומסומן כנספח א'.</w:t>
      </w:r>
    </w:p>
    <w:p>
      <w:pPr>
        <w:bidi w:val="1"/>
        <w:spacing w:lineRule="auto" w:line="360" w:after="160" w:before="0"/>
        <w:ind w:left="510" w:hanging="510"/>
        <w:jc w:val="both"/>
      </w:pPr>
      <w:r>
        <w:rPr>
          <w:rFonts w:ascii="David" w:hAnsi="David" w:cs="David" w:eastAsia="David"/>
          <w:b w:val="0"/>
          <w:sz w:val="24"/>
          <w:u w:val="none"/>
          <w:rtl w:val="1"/>
          <w:szCs w:val="24"/>
        </w:rPr>
        <w:t>39.</w:t>
        <w:tab/>
        <w:t>במכתב נקבע, מפי הגורם המקצועי המוסמך, כי הנתבעת "היתה מוכרת ברווחה לאורך שנים, על רקע קשיים כלכליים, משפחתיים ובריאותיים"; כי היא "בת 42 רווקה ללא ילדים מתמודדת עם נכות נפשית ופיברומיאלגיה, אינה עובדת ומקבלת קיצבה 100% נכות מביטוח לאומי"; כי היא "מצויה בהתקף חרדה עקב המצב" וכי "אין לה את היכולת להתמודד עם מעברים ושינויים".</w:t>
      </w:r>
    </w:p>
    <w:p>
      <w:pPr>
        <w:bidi w:val="1"/>
        <w:spacing w:lineRule="auto" w:line="360" w:after="160" w:before="0"/>
        <w:ind w:left="510" w:hanging="510"/>
        <w:jc w:val="both"/>
      </w:pPr>
      <w:r>
        <w:rPr>
          <w:rFonts w:ascii="David" w:hAnsi="David" w:cs="David" w:eastAsia="David"/>
          <w:b w:val="0"/>
          <w:sz w:val="24"/>
          <w:u w:val="none"/>
          <w:rtl w:val="1"/>
          <w:szCs w:val="24"/>
        </w:rPr>
        <w:t>40.</w:t>
        <w:tab/>
        <w:t>וחשוב מכל – המלצתו המפורשת של גורם הרווחה, כהאי לישנא: "לאור זאת, נודה על כל התחשבות במצבה והימנעות מהוצאתה מהדירה בה מתגוררת מזה 30 שנה" [ההדגשה של הח"מ].</w:t>
      </w:r>
    </w:p>
    <w:p>
      <w:pPr>
        <w:bidi w:val="1"/>
        <w:spacing w:lineRule="auto" w:line="360" w:after="160" w:before="0"/>
        <w:ind w:left="510" w:hanging="510"/>
        <w:jc w:val="both"/>
      </w:pPr>
      <w:r>
        <w:rPr>
          <w:rFonts w:ascii="David" w:hAnsi="David" w:cs="David" w:eastAsia="David"/>
          <w:b w:val="0"/>
          <w:sz w:val="24"/>
          <w:u w:val="none"/>
          <w:rtl w:val="1"/>
          <w:szCs w:val="24"/>
        </w:rPr>
        <w:t>41.</w:t>
        <w:tab/>
        <w:t>ודוק; שלושה דברים עולים ממכתב זה, וכל אחד מהם עומד בפני עצמו. האחד – אישוש עצמאי, מפי רשות סטטוטורית שאינה צד להליך, לכך שהנתבעת מתגוררת בדירה מזה שלושים שנה. השני – תשתית רפואית וסוציאלית לחומרת הפגיעה הצפויה מפינוי. השלישי – המלצה מפורשת שלא לפנותה.</w:t>
      </w:r>
    </w:p>
    <w:p>
      <w:pPr>
        <w:bidi w:val="1"/>
        <w:spacing w:lineRule="auto" w:line="360" w:after="160" w:before="0"/>
        <w:ind w:left="510" w:hanging="510"/>
        <w:jc w:val="both"/>
      </w:pPr>
      <w:r>
        <w:rPr>
          <w:rFonts w:ascii="David" w:hAnsi="David" w:cs="David" w:eastAsia="David"/>
          <w:b w:val="0"/>
          <w:sz w:val="24"/>
          <w:u w:val="none"/>
          <w:rtl w:val="1"/>
          <w:szCs w:val="24"/>
        </w:rPr>
        <w:t>42.</w:t>
        <w:tab/>
        <w:t>התובעת קיבלה את החלטתה מבלי שטרחה לפנות אל גורמי הרווחה, מבלי שביררה את מצבה הרפואי של הנתבעת ומבלי שנתנה דעתה לקיומו של תיק רווחה פעיל בעניינה מזה שנים. החלטה מנהלית המתקבלת על יסוד תשתית עובדתית חסרה כל כך – דינה בטלות.</w:t>
      </w:r>
    </w:p>
    <w:p>
      <w:pPr>
        <w:bidi w:val="1"/>
        <w:spacing w:lineRule="auto" w:line="360" w:after="160" w:before="0"/>
        <w:ind w:left="510" w:hanging="510"/>
        <w:jc w:val="both"/>
      </w:pPr>
      <w:r>
        <w:rPr>
          <w:rFonts w:ascii="David" w:hAnsi="David" w:cs="David" w:eastAsia="David"/>
          <w:b w:val="0"/>
          <w:sz w:val="24"/>
          <w:u w:val="none"/>
          <w:rtl w:val="1"/>
          <w:szCs w:val="24"/>
        </w:rPr>
        <w:t>43.</w:t>
        <w:tab/>
        <w:t>מבלי לגרוע מן האמור, יצוין כי הנתבעת אף פנתה בעבר בכתב יד אל משרד הבינוי והשיכון בעניין מצוקת הדיור שלה, ופנייה זו אושרה כ"העתק נאמן למקור". העתק הפנייה מצ"ב ומסומן כנספח ב'.</w:t>
      </w:r>
    </w:p>
    <w:p>
      <w:pPr>
        <w:bidi w:val="1"/>
        <w:spacing w:lineRule="auto" w:line="360" w:after="120" w:before="200"/>
        <w:jc w:val="right"/>
      </w:pPr>
      <w:r>
        <w:rPr>
          <w:rFonts w:ascii="David" w:hAnsi="David" w:cs="David" w:eastAsia="David"/>
          <w:b/>
          <w:sz w:val="24"/>
          <w:u w:val="single"/>
          <w:rtl w:val="1"/>
          <w:szCs w:val="24"/>
          <w:bCs w:val="1"/>
        </w:rPr>
        <w:t>התייחסות פרטנית לטענות כתב התביעה</w:t>
      </w:r>
    </w:p>
    <w:p>
      <w:pPr>
        <w:bidi w:val="1"/>
        <w:spacing w:lineRule="auto" w:line="360" w:after="160" w:before="0"/>
        <w:ind w:left="510" w:hanging="510"/>
        <w:jc w:val="both"/>
      </w:pPr>
      <w:r>
        <w:rPr>
          <w:rFonts w:ascii="David" w:hAnsi="David" w:cs="David" w:eastAsia="David"/>
          <w:b w:val="0"/>
          <w:sz w:val="24"/>
          <w:u w:val="none"/>
          <w:rtl w:val="1"/>
          <w:szCs w:val="24"/>
        </w:rPr>
        <w:t>44.</w:t>
        <w:tab/>
        <w:t>הנטען בסעיפים 1, 5, 6, 7, 13 ו-17 אינו מוכחש.</w:t>
      </w:r>
    </w:p>
    <w:p>
      <w:pPr>
        <w:bidi w:val="1"/>
        <w:spacing w:lineRule="auto" w:line="360" w:after="160" w:before="0"/>
        <w:ind w:left="510" w:hanging="510"/>
        <w:jc w:val="both"/>
      </w:pPr>
      <w:r>
        <w:rPr>
          <w:rFonts w:ascii="David" w:hAnsi="David" w:cs="David" w:eastAsia="David"/>
          <w:b w:val="0"/>
          <w:sz w:val="24"/>
          <w:u w:val="none"/>
          <w:rtl w:val="1"/>
          <w:szCs w:val="24"/>
        </w:rPr>
        <w:t>45.</w:t>
        <w:tab/>
        <w:t>הנטען בסעיף 2 מוכחש מכל וכל. הנתבעת אינה "פולשת", לא פלשה לדירה ואינה מחזיקה בה שלא כדין. הנתבעת מתגוררת בדירה כדין מיום אכלוסה בשנת 1996.</w:t>
      </w:r>
    </w:p>
    <w:p>
      <w:pPr>
        <w:bidi w:val="1"/>
        <w:spacing w:lineRule="auto" w:line="360" w:after="160" w:before="0"/>
        <w:ind w:left="510" w:hanging="510"/>
        <w:jc w:val="both"/>
      </w:pPr>
      <w:r>
        <w:rPr>
          <w:rFonts w:ascii="David" w:hAnsi="David" w:cs="David" w:eastAsia="David"/>
          <w:b w:val="0"/>
          <w:sz w:val="24"/>
          <w:u w:val="none"/>
          <w:rtl w:val="1"/>
          <w:szCs w:val="24"/>
        </w:rPr>
        <w:t>46.</w:t>
        <w:tab/>
        <w:t>הנטען בסעיפים 3, 4, 23 ו-24 מוכחש. אין התובעת זכאית לסעד כלשהו, וממילא אין היא זכאית להוצאות מוגברות.</w:t>
      </w:r>
    </w:p>
    <w:p>
      <w:pPr>
        <w:bidi w:val="1"/>
        <w:spacing w:lineRule="auto" w:line="360" w:after="160" w:before="0"/>
        <w:ind w:left="510" w:hanging="510"/>
        <w:jc w:val="both"/>
      </w:pPr>
      <w:r>
        <w:rPr>
          <w:rFonts w:ascii="David" w:hAnsi="David" w:cs="David" w:eastAsia="David"/>
          <w:b w:val="0"/>
          <w:sz w:val="24"/>
          <w:u w:val="none"/>
          <w:rtl w:val="1"/>
          <w:szCs w:val="24"/>
        </w:rPr>
        <w:t>47.</w:t>
        <w:tab/>
        <w:t>הנטען בסעיף 8 אינו מוכחש, למעט המילה "בעבר", המבקשת ליצור מצג כאילו הסתיימה הזיקה בין המשפחה לבין הדירה. חשבון הדירה נוהל בידי התובעת כחשבון פעיל אף לאחר הפטירה, ובגינו נזקפה הנחת מדרוג שתוקפה עד ליום 30.9.2024.</w:t>
      </w:r>
    </w:p>
    <w:p>
      <w:pPr>
        <w:bidi w:val="1"/>
        <w:spacing w:lineRule="auto" w:line="360" w:after="160" w:before="0"/>
        <w:ind w:left="510" w:hanging="510"/>
        <w:jc w:val="both"/>
      </w:pPr>
      <w:r>
        <w:rPr>
          <w:rFonts w:ascii="David" w:hAnsi="David" w:cs="David" w:eastAsia="David"/>
          <w:b w:val="0"/>
          <w:sz w:val="24"/>
          <w:u w:val="none"/>
          <w:rtl w:val="1"/>
          <w:szCs w:val="24"/>
        </w:rPr>
        <w:t>48.</w:t>
        <w:tab/>
        <w:t>הנטען בסעיפים 9 ו-15 מוכחש באופן גורף ומוחלט. המדובר בטענת סרק, המופרכת על ידי מסמכי התובעת עצמה, כמפורט לעיל.</w:t>
      </w:r>
    </w:p>
    <w:p>
      <w:pPr>
        <w:bidi w:val="1"/>
        <w:spacing w:lineRule="auto" w:line="360" w:after="160" w:before="0"/>
        <w:ind w:left="510" w:hanging="510"/>
        <w:jc w:val="both"/>
      </w:pPr>
      <w:r>
        <w:rPr>
          <w:rFonts w:ascii="David" w:hAnsi="David" w:cs="David" w:eastAsia="David"/>
          <w:b w:val="0"/>
          <w:sz w:val="24"/>
          <w:u w:val="none"/>
          <w:rtl w:val="1"/>
          <w:szCs w:val="24"/>
        </w:rPr>
        <w:t>49.</w:t>
        <w:tab/>
        <w:t>הנטען בסעיף 10 מוכחש. הוועדה הנטענת היא ועדת לגליזציה פנימית של התובעת; היא לא שמעה את הנתבעת; והחלטתה נעדרת הנמקה.</w:t>
      </w:r>
    </w:p>
    <w:p>
      <w:pPr>
        <w:bidi w:val="1"/>
        <w:spacing w:lineRule="auto" w:line="360" w:after="160" w:before="0"/>
        <w:ind w:left="510" w:hanging="510"/>
        <w:jc w:val="both"/>
      </w:pPr>
      <w:r>
        <w:rPr>
          <w:rFonts w:ascii="David" w:hAnsi="David" w:cs="David" w:eastAsia="David"/>
          <w:b w:val="0"/>
          <w:sz w:val="24"/>
          <w:u w:val="none"/>
          <w:rtl w:val="1"/>
          <w:szCs w:val="24"/>
        </w:rPr>
        <w:t>50.</w:t>
        <w:tab/>
        <w:t>הנטען בסעיף 11 מוכחש. לא צורפה ולו דרישת פינוי אחת, ולא נטען מתי, כיצד ובידי מי נמסרה. הנתבעת מעולם לא "התבצרה" בדירה – היא מתגוררת בביתה.</w:t>
      </w:r>
    </w:p>
    <w:p>
      <w:pPr>
        <w:bidi w:val="1"/>
        <w:spacing w:lineRule="auto" w:line="360" w:after="160" w:before="0"/>
        <w:ind w:left="510" w:hanging="510"/>
        <w:jc w:val="both"/>
      </w:pPr>
      <w:r>
        <w:rPr>
          <w:rFonts w:ascii="David" w:hAnsi="David" w:cs="David" w:eastAsia="David"/>
          <w:b w:val="0"/>
          <w:sz w:val="24"/>
          <w:u w:val="none"/>
          <w:rtl w:val="1"/>
          <w:szCs w:val="24"/>
        </w:rPr>
        <w:t>51.</w:t>
        <w:tab/>
        <w:t>הנטען בסעיף 12 אינו טענה עובדתית אלא סיכום, ומוכחש בהתאם.</w:t>
      </w:r>
    </w:p>
    <w:p>
      <w:pPr>
        <w:bidi w:val="1"/>
        <w:spacing w:lineRule="auto" w:line="360" w:after="160" w:before="0"/>
        <w:ind w:left="510" w:hanging="510"/>
        <w:jc w:val="both"/>
      </w:pPr>
      <w:r>
        <w:rPr>
          <w:rFonts w:ascii="David" w:hAnsi="David" w:cs="David" w:eastAsia="David"/>
          <w:b w:val="0"/>
          <w:sz w:val="24"/>
          <w:u w:val="none"/>
          <w:rtl w:val="1"/>
          <w:szCs w:val="24"/>
        </w:rPr>
        <w:t>52.</w:t>
        <w:tab/>
        <w:t>הנטען בסעיף 14 אינו מוכחש, בכפוף לאמור לעיל באשר לסעיף 2(ז) לחוזה, המחייב הודעת סיום בכתב שישים יום מראש.</w:t>
      </w:r>
    </w:p>
    <w:p>
      <w:pPr>
        <w:bidi w:val="1"/>
        <w:spacing w:lineRule="auto" w:line="360" w:after="160" w:before="0"/>
        <w:ind w:left="510" w:hanging="510"/>
        <w:jc w:val="both"/>
      </w:pPr>
      <w:r>
        <w:rPr>
          <w:rFonts w:ascii="David" w:hAnsi="David" w:cs="David" w:eastAsia="David"/>
          <w:b w:val="0"/>
          <w:sz w:val="24"/>
          <w:u w:val="none"/>
          <w:rtl w:val="1"/>
          <w:szCs w:val="24"/>
        </w:rPr>
        <w:t>53.</w:t>
        <w:tab/>
        <w:t>הנטען בסעיף 16 מוכחש. התצהיר הנטען לא צורף כלל; ההצהרות המצויות בנספח 2 הן טפסים מודפסים מראש שחלופותיהם לא נמחקו; ודוחות הביקור מלמדים את היפוכם של דברים, כמפורט לעיל בהרחבה.</w:t>
      </w:r>
    </w:p>
    <w:p>
      <w:pPr>
        <w:bidi w:val="1"/>
        <w:spacing w:lineRule="auto" w:line="360" w:after="160" w:before="0"/>
        <w:ind w:left="510" w:hanging="510"/>
        <w:jc w:val="both"/>
      </w:pPr>
      <w:r>
        <w:rPr>
          <w:rFonts w:ascii="David" w:hAnsi="David" w:cs="David" w:eastAsia="David"/>
          <w:b w:val="0"/>
          <w:sz w:val="24"/>
          <w:u w:val="none"/>
          <w:rtl w:val="1"/>
          <w:szCs w:val="24"/>
        </w:rPr>
        <w:t>54.</w:t>
        <w:tab/>
        <w:t>הנטען בסעיף 18 מוכחש, בהתאם לאמור לעיל.</w:t>
      </w:r>
    </w:p>
    <w:p>
      <w:pPr>
        <w:bidi w:val="1"/>
        <w:spacing w:lineRule="auto" w:line="360" w:after="160" w:before="0"/>
        <w:ind w:left="510" w:hanging="510"/>
        <w:jc w:val="both"/>
      </w:pPr>
      <w:r>
        <w:rPr>
          <w:rFonts w:ascii="David" w:hAnsi="David" w:cs="David" w:eastAsia="David"/>
          <w:b w:val="0"/>
          <w:sz w:val="24"/>
          <w:u w:val="none"/>
          <w:rtl w:val="1"/>
          <w:szCs w:val="24"/>
        </w:rPr>
        <w:t>55.</w:t>
        <w:tab/>
        <w:t>הנטען בסעיף 19 מוכחש. הנתבעת עומדת בתבחינים; ומכל מקום, לא הוצגו התבחינים הנטענים, לא הוצג הנוהל שמכוחו נבחנה הבקשה, ולא הוצגה כל החלטה מנומקת.</w:t>
      </w:r>
    </w:p>
    <w:p>
      <w:pPr>
        <w:bidi w:val="1"/>
        <w:spacing w:lineRule="auto" w:line="360" w:after="160" w:before="0"/>
        <w:ind w:left="510" w:hanging="510"/>
        <w:jc w:val="both"/>
      </w:pPr>
      <w:r>
        <w:rPr>
          <w:rFonts w:ascii="David" w:hAnsi="David" w:cs="David" w:eastAsia="David"/>
          <w:b w:val="0"/>
          <w:sz w:val="24"/>
          <w:u w:val="none"/>
          <w:rtl w:val="1"/>
          <w:szCs w:val="24"/>
        </w:rPr>
        <w:t>56.</w:t>
        <w:tab/>
        <w:t>הנטען בסעיף 20 מוכחש. הפסיקה המצוטטת אינה מסייעת לתובעת בנסיבות דנא, כמפורט לעיל.</w:t>
      </w:r>
    </w:p>
    <w:p>
      <w:pPr>
        <w:bidi w:val="1"/>
        <w:spacing w:lineRule="auto" w:line="360" w:after="160" w:before="0"/>
        <w:ind w:left="510" w:hanging="510"/>
        <w:jc w:val="both"/>
      </w:pPr>
      <w:r>
        <w:rPr>
          <w:rFonts w:ascii="David" w:hAnsi="David" w:cs="David" w:eastAsia="David"/>
          <w:b w:val="0"/>
          <w:sz w:val="24"/>
          <w:u w:val="none"/>
          <w:rtl w:val="1"/>
          <w:szCs w:val="24"/>
        </w:rPr>
        <w:t>57.</w:t>
        <w:tab/>
        <w:t>הנטען בסעיפים 21 ו-22 מוכחש מכל וכל. לא הנתבעת היא שנהגה שלא כדין.</w:t>
      </w:r>
    </w:p>
    <w:p>
      <w:pPr>
        <w:bidi w:val="1"/>
        <w:spacing w:lineRule="auto" w:line="360" w:after="120" w:before="200"/>
        <w:jc w:val="right"/>
      </w:pPr>
      <w:r>
        <w:rPr>
          <w:rFonts w:ascii="David" w:hAnsi="David" w:cs="David" w:eastAsia="David"/>
          <w:b/>
          <w:sz w:val="24"/>
          <w:u w:val="single"/>
          <w:rtl w:val="1"/>
          <w:szCs w:val="24"/>
          <w:bCs w:val="1"/>
        </w:rPr>
        <w:t>סיכום</w:t>
      </w:r>
    </w:p>
    <w:p>
      <w:pPr>
        <w:bidi w:val="1"/>
        <w:spacing w:lineRule="auto" w:line="360" w:after="160" w:before="0"/>
        <w:ind w:left="510" w:hanging="510"/>
        <w:jc w:val="both"/>
      </w:pPr>
      <w:r>
        <w:rPr>
          <w:rFonts w:ascii="David" w:hAnsi="David" w:cs="David" w:eastAsia="David"/>
          <w:b w:val="0"/>
          <w:sz w:val="24"/>
          <w:u w:val="none"/>
          <w:rtl w:val="1"/>
          <w:szCs w:val="24"/>
        </w:rPr>
        <w:t>58.</w:t>
        <w:tab/>
        <w:t>התובעת מבקשת להוציא מביתה אישה נכת 100%, המתגוררת בדירה מזה שלושים שנה, על יסוד מסכת ראייתית אשר היא עצמה ערכה – ואשר מפריכה את תביעתה.</w:t>
      </w:r>
    </w:p>
    <w:p>
      <w:pPr>
        <w:bidi w:val="1"/>
        <w:spacing w:lineRule="auto" w:line="360" w:after="160" w:before="0"/>
        <w:ind w:left="510" w:hanging="510"/>
        <w:jc w:val="both"/>
      </w:pPr>
      <w:r>
        <w:rPr>
          <w:rFonts w:ascii="David" w:hAnsi="David" w:cs="David" w:eastAsia="David"/>
          <w:b w:val="0"/>
          <w:sz w:val="24"/>
          <w:u w:val="none"/>
          <w:rtl w:val="1"/>
          <w:szCs w:val="24"/>
        </w:rPr>
        <w:t>59.</w:t>
        <w:tab/>
        <w:t>דוחות הביקור של התובעת קובעים כי המנוח לא גר בגפו (3.8.2020), כי בביקור האחרון בחייו לא נמצא איש (18.12.2023), וכי הביקור שלאחר פטירתו נערך "עם הבת" (3.7.2024) – שאותה סימנה התובעת כמי ש"גר: כן".</w:t>
      </w:r>
    </w:p>
    <w:p>
      <w:pPr>
        <w:bidi w:val="1"/>
        <w:spacing w:lineRule="auto" w:line="360" w:after="160" w:before="0"/>
        <w:ind w:left="510" w:hanging="510"/>
        <w:jc w:val="both"/>
      </w:pPr>
      <w:r>
        <w:rPr>
          <w:rFonts w:ascii="David" w:hAnsi="David" w:cs="David" w:eastAsia="David"/>
          <w:b w:val="0"/>
          <w:sz w:val="24"/>
          <w:u w:val="none"/>
          <w:rtl w:val="1"/>
          <w:szCs w:val="24"/>
        </w:rPr>
        <w:t>60.</w:t>
        <w:tab/>
        <w:t>ההחלטה שעליה נשענת התביעה ניתנה בגוף פנימי, ללא שימוע, ללא הנמקה וללא המצאה – ואף מייחסת לאדם מגורים בדירה חודשים לאחר פטירתו.</w:t>
      </w:r>
    </w:p>
    <w:p>
      <w:pPr>
        <w:bidi w:val="1"/>
        <w:spacing w:lineRule="auto" w:line="360" w:after="160" w:before="0"/>
        <w:ind w:left="510" w:hanging="510"/>
        <w:jc w:val="both"/>
      </w:pPr>
      <w:r>
        <w:rPr>
          <w:rFonts w:ascii="David" w:hAnsi="David" w:cs="David" w:eastAsia="David"/>
          <w:b w:val="0"/>
          <w:sz w:val="24"/>
          <w:u w:val="none"/>
          <w:rtl w:val="1"/>
          <w:szCs w:val="24"/>
        </w:rPr>
        <w:t>61.</w:t>
        <w:tab/>
        <w:t>גורם הרווחה המוסמך אישר את שלושים שנות המגורים, פירט את נכותה של הנתבעת, וביקש מפורשות להימנע מהוצאתה מן הדירה.</w:t>
      </w:r>
    </w:p>
    <w:p>
      <w:pPr>
        <w:bidi w:val="1"/>
        <w:spacing w:lineRule="auto" w:line="360" w:after="160" w:before="0"/>
        <w:ind w:left="510" w:hanging="510"/>
        <w:jc w:val="both"/>
      </w:pPr>
      <w:r>
        <w:rPr>
          <w:rFonts w:ascii="David" w:hAnsi="David" w:cs="David" w:eastAsia="David"/>
          <w:b w:val="0"/>
          <w:sz w:val="24"/>
          <w:u w:val="none"/>
          <w:rtl w:val="1"/>
          <w:szCs w:val="24"/>
        </w:rPr>
        <w:t>62.</w:t>
        <w:tab/>
        <w:t>אשר על כל המקובץ לעיל מתבקש בזאת בית המשפט הנכבד לדחות את התביעה על הסף, ולחלופין לגופה, ולחייב את התובעת בהוצאות הולמות בגין הגשת תביעת סרק, נעדרת עילה ונעדרת תום לב, תוך בזבוז זמן שיפוטי יקר.</w:t>
      </w:r>
    </w:p>
    <w:p>
      <w:pPr>
        <w:bidi w:val="1"/>
        <w:spacing w:lineRule="auto" w:line="240" w:after="40" w:before="0"/>
        <w:jc w:val="both"/>
      </w:pPr>
    </w:p>
    <w:p>
      <w:pPr>
        <w:bidi w:val="1"/>
        <w:spacing w:lineRule="auto" w:line="240" w:after="40" w:before="0"/>
        <w:jc w:val="both"/>
      </w:pPr>
    </w:p>
    <w:p>
      <w:pPr>
        <w:bidi w:val="1"/>
        <w:spacing w:lineRule="auto" w:line="240" w:after="0" w:before="0"/>
        <w:jc w:val="left"/>
      </w:pPr>
      <w:r>
        <w:rPr>
          <w:rFonts w:ascii="David" w:hAnsi="David" w:cs="David" w:eastAsia="David"/>
          <w:b w:val="0"/>
          <w:sz w:val="24"/>
          <w:u w:val="none"/>
          <w:rtl w:val="1"/>
          <w:szCs w:val="24"/>
        </w:rPr>
        <w:t>_____________________</w:t>
      </w:r>
    </w:p>
    <w:p>
      <w:pPr>
        <w:bidi w:val="1"/>
        <w:spacing w:lineRule="auto" w:line="240" w:after="0" w:before="0"/>
        <w:jc w:val="left"/>
      </w:pPr>
      <w:r>
        <w:rPr>
          <w:rFonts w:ascii="David" w:hAnsi="David" w:cs="David" w:eastAsia="David"/>
          <w:b/>
          <w:sz w:val="24"/>
          <w:u w:val="none"/>
          <w:rtl w:val="1"/>
          <w:szCs w:val="24"/>
          <w:bCs w:val="1"/>
        </w:rPr>
        <w:t>______________, עו"ד</w:t>
      </w:r>
    </w:p>
    <w:p>
      <w:pPr>
        <w:bidi w:val="1"/>
        <w:spacing w:lineRule="auto" w:line="240" w:after="0" w:before="0"/>
        <w:jc w:val="left"/>
      </w:pPr>
      <w:r>
        <w:rPr>
          <w:rFonts w:ascii="David" w:hAnsi="David" w:cs="David" w:eastAsia="David"/>
          <w:b/>
          <w:sz w:val="24"/>
          <w:u w:val="none"/>
          <w:rtl w:val="1"/>
          <w:szCs w:val="24"/>
          <w:bCs w:val="1"/>
        </w:rPr>
        <w:t>ב"כ הנתבעת</w:t>
      </w:r>
    </w:p>
    <w:p>
      <w:pPr>
        <w:bidi w:val="1"/>
        <w:spacing w:lineRule="auto" w:line="240" w:after="0" w:before="0"/>
        <w:jc w:val="left"/>
      </w:pPr>
      <w:r>
        <w:rPr>
          <w:rFonts w:ascii="David" w:hAnsi="David" w:cs="David" w:eastAsia="David"/>
          <w:b/>
          <w:sz w:val="24"/>
          <w:u w:val="none"/>
          <w:rtl w:val="1"/>
          <w:szCs w:val="24"/>
          <w:bCs w:val="1"/>
        </w:rPr>
        <w:t>______________________________</w:t>
      </w:r>
    </w:p>
    <w:p>
      <w:pPr>
        <w:bidi w:val="1"/>
        <w:spacing w:lineRule="auto" w:line="240" w:after="40" w:before="0"/>
        <w:jc w:val="both"/>
      </w:pPr>
    </w:p>
    <w:p>
      <w:pPr>
        <w:bidi w:val="1"/>
        <w:spacing w:lineRule="auto" w:line="360" w:after="120" w:before="200"/>
        <w:jc w:val="right"/>
      </w:pPr>
      <w:r>
        <w:rPr>
          <w:rFonts w:ascii="David" w:hAnsi="David" w:cs="David" w:eastAsia="David"/>
          <w:b/>
          <w:sz w:val="24"/>
          <w:u w:val="single"/>
          <w:rtl w:val="1"/>
          <w:szCs w:val="24"/>
          <w:bCs w:val="1"/>
        </w:rPr>
        <w:t>רשימת נספחים</w:t>
      </w:r>
    </w:p>
    <w:p>
      <w:pPr>
        <w:bidi w:val="1"/>
        <w:spacing w:lineRule="auto" w:line="360" w:after="120" w:before="0"/>
        <w:ind w:left="510" w:hanging="510"/>
        <w:jc w:val="both"/>
      </w:pPr>
      <w:r>
        <w:rPr>
          <w:rFonts w:ascii="David" w:hAnsi="David" w:cs="David" w:eastAsia="David"/>
          <w:b w:val="0"/>
          <w:sz w:val="24"/>
          <w:u w:val="none"/>
          <w:rtl w:val="1"/>
          <w:szCs w:val="24"/>
        </w:rPr>
        <w:t>נספח א' – מכתב המחלקה לשירותים חברתיים "ירקון", מינהל השירותים החברתיים, עיריית פתח תקווה, מחודש יולי 2026.</w:t>
      </w:r>
    </w:p>
    <w:p>
      <w:pPr>
        <w:bidi w:val="1"/>
        <w:spacing w:lineRule="auto" w:line="360" w:after="120" w:before="0"/>
        <w:ind w:left="510" w:hanging="510"/>
        <w:jc w:val="both"/>
      </w:pPr>
      <w:r>
        <w:rPr>
          <w:rFonts w:ascii="David" w:hAnsi="David" w:cs="David" w:eastAsia="David"/>
          <w:b w:val="0"/>
          <w:sz w:val="24"/>
          <w:u w:val="none"/>
          <w:rtl w:val="1"/>
          <w:szCs w:val="24"/>
        </w:rPr>
        <w:t>נספח ב' – פנייתה בכתב יד של הנתבעת אל משרד הבינוי והשיכון בעניין מצוקת הדיור שלה, מאושרת כ"העתק נאמן למקור".</w:t>
      </w:r>
    </w:p>
    <w:sectPr w:rsidR="00FC693F" w:rsidRPr="0006063C" w:rsidSect="00034616">
      <w:footerReference w:type="default" r:id="rId9"/>
      <w:pgSz w:w="11906" w:h="16838"/>
      <w:pgMar w:top="850" w:right="1417" w:bottom="646" w:left="1417"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b w:val="0"/>
        <w:sz w:val="22"/>
        <w:u w:val="none"/>
        <w:rtl w:val="1"/>
        <w:szCs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eastAsia="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