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David" w:cs="David" w:eastAsia="David" w:hAnsi="David"/>
          <w:b/>
          <w:bCs/>
          <w:sz w:val="28"/>
          <w:szCs w:val="28"/>
          <w:u w:val="single"/>
          <w:rtl/>
        </w:rPr>
        <w:t xml:space="preserve">דף עזר לדיון - בית הדין הרבני האזורי רחובות, תיק 1298590/4</w:t>
      </w:r>
    </w:p>
    <w:p>
      <w:pPr>
        <w:bidi/>
        <w:spacing w:after="12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18.10.2026 | המבקשת: ישאמבת עלמיהו | המשיב: סיטוטאו אסנקה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הוצאות בגין הדיון מיום 13.7.2026:</w:t>
      </w:r>
      <w:r>
        <w:rPr>
          <w:rFonts w:ascii="David" w:cs="David" w:eastAsia="David" w:hAnsi="David"/>
          <w:sz w:val="24"/>
          <w:szCs w:val="24"/>
          <w:rtl/>
        </w:rPr>
        <w:t xml:space="preserve"> עומדים על חיוב המשיב בהוצאות ממשיות ולדוגמה, ועל דחיית הבקשה לתיקון הפרוטוקול.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ידיעה בכתב:</w:t>
      </w:r>
      <w:r>
        <w:rPr>
          <w:rFonts w:ascii="David" w:cs="David" w:eastAsia="David" w:hAnsi="David"/>
          <w:sz w:val="24"/>
          <w:szCs w:val="24"/>
          <w:rtl/>
        </w:rPr>
        <w:t xml:space="preserve"> ביום 1.7.2026, 12 ימים לפני הדיון, כתבתי לבאת כוח המשיב ישירות "לקראת הדיון הקבוע ליום 13.7.2026" (נספח א' לתגובתנו).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המשיב עצמו ביקש לדחות את אותו דיון</w:t>
      </w:r>
      <w:r>
        <w:rPr>
          <w:rFonts w:ascii="David" w:cs="David" w:eastAsia="David" w:hAnsi="David"/>
          <w:sz w:val="24"/>
          <w:szCs w:val="24"/>
          <w:rtl/>
        </w:rPr>
        <w:t xml:space="preserve"> (סעיף 3 להודעתו). מי שמבקש לדחות דיון יודע על קיומו, ובקשת דחייה שלא נענתה אינה פוטרת מהתייצבות.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באולם, באוזני בית הדין,</w:t>
      </w:r>
      <w:r>
        <w:rPr>
          <w:rFonts w:ascii="David" w:cs="David" w:eastAsia="David" w:hAnsi="David"/>
          <w:sz w:val="24"/>
          <w:szCs w:val="24"/>
          <w:rtl/>
        </w:rPr>
        <w:t xml:space="preserve"> אישרה באת כוח המשיב לאפוטרופה לדין, עו"ד סימיה ויצמן, שידעה על הדיון ושהנחתה את מרשה שלא להגיע. הדברים נרשמו בפרוטוקול, ואין עילה לתקנו.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שלוש גרסאות סותרות:</w:t>
      </w:r>
      <w:r>
        <w:rPr>
          <w:rFonts w:ascii="David" w:cs="David" w:eastAsia="David" w:hAnsi="David"/>
          <w:sz w:val="24"/>
          <w:szCs w:val="24"/>
          <w:rtl/>
        </w:rPr>
        <w:t xml:space="preserve"> בזמן אמת ידעה והנחתה שלא להגיע; בהודעה מיום 16.7.2026 לא ידעה כלל; המשיב אמר לאפוטרופה שאינו יודע על דיון, אף שביקש לדחותו. לפחות שתיים אינן נכונות, והגרסה המאוחרת מטילה דופי בגורם מטעם בית הדין. ככל שיידרש, נבקש לשמוע את האפוטרופה.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האבל:</w:t>
      </w:r>
      <w:r>
        <w:rPr>
          <w:rFonts w:ascii="David" w:cs="David" w:eastAsia="David" w:hAnsi="David"/>
          <w:sz w:val="24"/>
          <w:szCs w:val="24"/>
          <w:rtl/>
        </w:rPr>
        <w:t xml:space="preserve"> תנחומים כנים. האבל מסביר לכל היותר אי התייצבות, ולא הנחיה ללקוח שלא להגיע או טענת "לא ידעתי" מול הודעה כתובה. מבקשים שההוצאות יוכרעו בנפרד מההסכמות.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חלופה:</w:t>
      </w:r>
      <w:r>
        <w:rPr>
          <w:rFonts w:ascii="David" w:cs="David" w:eastAsia="David" w:hAnsi="David"/>
          <w:sz w:val="24"/>
          <w:szCs w:val="24"/>
          <w:rtl/>
        </w:rPr>
        <w:t xml:space="preserve"> הוצאות על תנאי, שיושתו אם המשיב יפר את ההסכמות.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מעבר להסכמות:</w:t>
      </w:r>
      <w:r>
        <w:rPr>
          <w:rFonts w:ascii="David" w:cs="David" w:eastAsia="David" w:hAnsi="David"/>
          <w:sz w:val="24"/>
          <w:szCs w:val="24"/>
          <w:rtl/>
        </w:rPr>
        <w:t xml:space="preserve"> "האישה מגיעה בכוונה כנה להגיע להסכמות, ומבקשת שבית הדין ייתן למתווה תוקף של החלטה":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תקופת ניסיון של שישה חודשים לפחות. (גמישות: 4 חודשים ודיון מעקב.)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טיפול זוגי אצל מטפל מרשימת בית הדין, שייבחר בתוך 14 ימים, ואחרת ימונה. עלות בחלקים שווים.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מזונות הילדים ממשיכים במלואם; חזרת המשיב לבית אינה עילה להפחתה.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(קו אדום)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חלופת המעון: המשיב משלם ישירות למעון של הבן (10 חודשים), האישה יוצאת לעבודה, המזונות מתעדכנים לפי הכנסות ולא מתחת לצרכים ההכרחיים, וחוזרים לקדמותם אם המשיב מפסיק לשלם.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ביטול צו ההגנה רק עם עיגון המתווה בהחלטה, עם הקביעה "אין בביטול הודאה", ומנגנון חידוש דחוף, לרבות במעמד צד אחד.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(קו אדום)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חזרת המשיב לבית עם תחילת הטיפול. (גמישות: עם קביעת מועד לפגישה הראשונה.)</w:t>
      </w:r>
    </w:p>
    <w:p>
      <w:pPr>
        <w:pStyle w:val="ListParagraph"/>
        <w:numPr>
          <w:ilvl w:val="0"/>
          <w:numId w:val="3"/>
        </w:numPr>
        <w:bidi/>
        <w:spacing w:after="60" w:line="312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התחייבות הדדית לאי אלימות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(קו אדום)</w:t>
      </w:r>
      <w:r>
        <w:rPr>
          <w:rFonts w:ascii="David" w:cs="David" w:eastAsia="David" w:hAnsi="David"/>
          <w:sz w:val="24"/>
          <w:szCs w:val="24"/>
          <w:rtl/>
        </w:rPr>
        <w:t xml:space="preserve">; יתר ההסדרים בתוקף; הודעת עדכון בתום התקופה; טענות שמורות.</w:t>
      </w:r>
    </w:p>
    <w:p>
      <w:pPr>
        <w:pStyle w:val="ListParagraph"/>
        <w:numPr>
          <w:ilvl w:val="0"/>
          <w:numId w:val="2"/>
        </w:numPr>
        <w:bidi/>
        <w:spacing w:after="60" w:line="312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לפני היציאה:</w:t>
      </w:r>
      <w:r>
        <w:rPr>
          <w:rFonts w:ascii="David" w:cs="David" w:eastAsia="David" w:hAnsi="David"/>
          <w:sz w:val="24"/>
          <w:szCs w:val="24"/>
          <w:rtl/>
        </w:rPr>
        <w:t xml:space="preserve"> לוודא שניתן תוקף של החלטה, ולא רק "רשם לפניו"; שנרשמה החלטה בהוצאות או מועד להכרעה; שהקביעה "אין בביטול הודאה" ומנגנון החידוש נרשמו מילה במילה; לרשום מועדים ולבקש עותק פרוטוקול.</w:t>
      </w:r>
    </w:p>
    <w:p>
      <w:pPr>
        <w:bidi/>
        <w:spacing w:after="0" w:before="80" w:line="264" w:lineRule="auto"/>
        <w:jc w:val="both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לזכור:</w:t>
      </w:r>
      <w:r>
        <w:rPr>
          <w:rFonts w:ascii="David" w:cs="David" w:eastAsia="David" w:hAnsi="David"/>
          <w:sz w:val="22"/>
          <w:szCs w:val="22"/>
          <w:rtl/>
        </w:rPr>
        <w:t xml:space="preserve"> להתמקד בידיעה ובהנחיה שלא להגיע, לא בשאלת שבעה או שלושים. לא לומר "שקר" או "הטעיה". לטעון בקצרה ולעבור להסכמות.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425" w:hanging="425"/>
      </w:pPr>
    </w:lvl>
  </w:abstractNum>
  <w:abstractNum w:abstractNumId="3" w15:restartNumberingAfterBreak="0">
    <w:multiLevelType w:val="hybridMultilevel"/>
    <w:lvl w:ilvl="0" w15:tentative="1">
      <w:start w:val="1"/>
      <w:numFmt w:val="hebrew2"/>
      <w:suff w:val="tab"/>
      <w:lvlText w:val="%1."/>
      <w:lvlJc w:val="start"/>
      <w:pPr>
        <w:ind w:left="850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2026-10-18T03:55:01.973Z</dcterms:created>
  <dcterms:modified xsi:type="dcterms:W3CDTF">2026-10-18T03:55:01.974Z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