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443"/>
        <w:gridCol w:w="3628"/>
      </w:tblGrid>
      <w:tr>
        <w:tc>
          <w:tcPr>
            <w:tcW w:type="dxa" w:w="5443"/>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בבית הדין הרבני האזורי ב________</w:t>
            </w:r>
          </w:p>
        </w:tc>
        <w:tc>
          <w:tcPr>
            <w:tcW w:type="dxa" w:w="362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התובעת:</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"האישה")</w:t>
            </w:r>
          </w:p>
          <w:p>
            <w:pPr>
              <w:bidi/>
              <w:spacing w:after="40"/>
              <w:jc w:val="start"/>
            </w:pPr>
            <w:r>
              <w:rPr>
                <w:rFonts w:ascii="David" w:cs="David" w:eastAsia="David" w:hAnsi="David"/>
                <w:sz w:val="24"/>
                <w:szCs w:val="24"/>
                <w:rtl/>
              </w:rPr>
              <w:t xml:space="preserve">באמצעות ב"כ עו"ד ____________</w:t>
            </w:r>
          </w:p>
        </w:tc>
      </w:tr>
    </w:tbl>
    <w:p>
      <w:pPr>
        <w:bidi/>
        <w:spacing w:after="60" w:before="60"/>
        <w:jc w:val="center"/>
      </w:pPr>
      <w:r>
        <w:rPr>
          <w:rFonts w:ascii="David" w:cs="David" w:eastAsia="David" w:hAnsi="David"/>
          <w:b/>
          <w:bCs/>
          <w:sz w:val="24"/>
          <w:szCs w:val="24"/>
          <w:rtl/>
        </w:rPr>
        <w:t xml:space="preserve">- נגד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הנתבע:</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"הבעל")</w:t>
            </w:r>
          </w:p>
          <w:p>
            <w:pPr>
              <w:bidi/>
              <w:spacing w:after="40"/>
              <w:jc w:val="start"/>
            </w:pPr>
            <w:r>
              <w:rPr>
                <w:rFonts w:ascii="David" w:cs="David" w:eastAsia="David" w:hAnsi="David"/>
                <w:sz w:val="24"/>
                <w:szCs w:val="24"/>
                <w:rtl/>
              </w:rPr>
              <w:t xml:space="preserve">באמצעות ב"כ עו"ד צפנת חן כהן</w:t>
            </w:r>
          </w:p>
        </w:tc>
      </w:tr>
    </w:tbl>
    <w:p>
      <w:pPr>
        <w:bidi/>
        <w:spacing w:after="200" w:before="240" w:line="360" w:lineRule="auto"/>
        <w:jc w:val="center"/>
      </w:pPr>
      <w:r>
        <w:rPr>
          <w:rFonts w:ascii="David" w:cs="David" w:eastAsia="David" w:hAnsi="David"/>
          <w:b/>
          <w:bCs/>
          <w:sz w:val="28"/>
          <w:szCs w:val="28"/>
          <w:u w:val="single"/>
          <w:rtl/>
        </w:rPr>
        <w:t xml:space="preserve">תגובת האישה לבקשת הבעל מיום __.10.2026</w:t>
      </w:r>
    </w:p>
    <w:p>
      <w:pPr>
        <w:bidi/>
        <w:spacing w:after="120" w:line="360" w:lineRule="auto"/>
        <w:jc w:val="both"/>
      </w:pPr>
      <w:r>
        <w:rPr>
          <w:rFonts w:ascii="David" w:cs="David" w:eastAsia="David" w:hAnsi="David"/>
          <w:sz w:val="24"/>
          <w:szCs w:val="24"/>
          <w:rtl/>
        </w:rPr>
        <w:t xml:space="preserve">בהתאם להחלטת בית הדין הנכבד, מתכבדת האישה להגיש את תגובתה לבקשת הבעל, כדלקמן:</w:t>
      </w:r>
    </w:p>
    <w:p>
      <w:pPr>
        <w:pStyle w:val="ListParagraph"/>
        <w:numPr>
          <w:ilvl w:val="0"/>
          <w:numId w:val="2"/>
        </w:numPr>
        <w:bidi/>
        <w:spacing w:after="120" w:line="360" w:lineRule="auto"/>
        <w:jc w:val="both"/>
      </w:pPr>
      <w:r>
        <w:rPr>
          <w:rFonts w:ascii="David" w:cs="David" w:eastAsia="David" w:hAnsi="David"/>
          <w:sz w:val="24"/>
          <w:szCs w:val="24"/>
          <w:rtl/>
        </w:rPr>
        <w:t xml:space="preserve">האישה מאשרת כי הצדדים שוחחו ביניהם, ומבקשת בכנות לתת הזדמנות ממשית לשיקום הנישואין. שלום בית של אמת מחייב מסגרת ברורה ומחויבות הדדית, ולכן מציעה האישה את המתווה שבסעיף 6 להלן.</w:t>
      </w:r>
    </w:p>
    <w:p>
      <w:pPr>
        <w:pStyle w:val="ListParagraph"/>
        <w:numPr>
          <w:ilvl w:val="0"/>
          <w:numId w:val="2"/>
        </w:numPr>
        <w:bidi/>
        <w:spacing w:after="120" w:line="360" w:lineRule="auto"/>
        <w:jc w:val="both"/>
      </w:pPr>
      <w:r>
        <w:rPr>
          <w:rFonts w:ascii="David" w:cs="David" w:eastAsia="David" w:hAnsi="David"/>
          <w:b/>
          <w:bCs/>
          <w:sz w:val="24"/>
          <w:szCs w:val="24"/>
          <w:rtl/>
        </w:rPr>
        <w:t xml:space="preserve">התצהיר:</w:t>
      </w:r>
      <w:r>
        <w:rPr>
          <w:rFonts w:ascii="David" w:cs="David" w:eastAsia="David" w:hAnsi="David"/>
          <w:sz w:val="24"/>
          <w:szCs w:val="24"/>
          <w:rtl/>
        </w:rPr>
        <w:t xml:space="preserve"> עמדת האישה מובאת בתגובה זו, והיא תציג אותה גם באופן אישי בדיון. אין הצדקה לחייב את האישה בתצהיר, כאשר הבעל עצמו לא צירף תצהיר לבקשתו.</w:t>
      </w:r>
    </w:p>
    <w:p>
      <w:pPr>
        <w:pStyle w:val="ListParagraph"/>
        <w:numPr>
          <w:ilvl w:val="0"/>
          <w:numId w:val="2"/>
        </w:numPr>
        <w:bidi/>
        <w:spacing w:after="120" w:line="360" w:lineRule="auto"/>
        <w:jc w:val="both"/>
      </w:pPr>
      <w:r>
        <w:rPr>
          <w:rFonts w:ascii="David" w:cs="David" w:eastAsia="David" w:hAnsi="David"/>
          <w:b/>
          <w:bCs/>
          <w:sz w:val="24"/>
          <w:szCs w:val="24"/>
          <w:rtl/>
        </w:rPr>
        <w:t xml:space="preserve">הדיון:</w:t>
      </w:r>
      <w:r>
        <w:rPr>
          <w:rFonts w:ascii="David" w:cs="David" w:eastAsia="David" w:hAnsi="David"/>
          <w:sz w:val="24"/>
          <w:szCs w:val="24"/>
          <w:rtl/>
        </w:rPr>
        <w:t xml:space="preserve"> הדיון הוא המקום הנכון לקבוע מסגרת לתקופת הניסיון. האישה תסכים לביטולו רק אם הבעל יודיע בכתב על הסכמתו למתווה, והמתווה יקבל תוקף של החלטה. אחרת, האישה עומדת על קיום הדיון במועדו.</w:t>
      </w:r>
    </w:p>
    <w:p>
      <w:pPr>
        <w:pStyle w:val="ListParagraph"/>
        <w:numPr>
          <w:ilvl w:val="0"/>
          <w:numId w:val="2"/>
        </w:numPr>
        <w:bidi/>
        <w:spacing w:after="120" w:line="360" w:lineRule="auto"/>
        <w:jc w:val="both"/>
      </w:pPr>
      <w:r>
        <w:rPr>
          <w:rFonts w:ascii="David" w:cs="David" w:eastAsia="David" w:hAnsi="David"/>
          <w:b/>
          <w:bCs/>
          <w:sz w:val="24"/>
          <w:szCs w:val="24"/>
          <w:rtl/>
        </w:rPr>
        <w:t xml:space="preserve">צו ההגנה:</w:t>
      </w:r>
      <w:r>
        <w:rPr>
          <w:rFonts w:ascii="David" w:cs="David" w:eastAsia="David" w:hAnsi="David"/>
          <w:sz w:val="24"/>
          <w:szCs w:val="24"/>
          <w:rtl/>
        </w:rPr>
        <w:t xml:space="preserve"> הצו ניתן לאחר שהוצגו בפני בית הדין נסיבות שהצדיקו אותו. אף על פי כן, ומתוך רצון כן בשלום בית, האישה מסכימה לביטולו ולחזרת הבעל לבית, כחלק מהמתווה ובכפוף לתנאיו. אין בהסכמה זו הודאה כי הנסיבות שבבסיס הצו לא התקיימו.</w:t>
      </w:r>
    </w:p>
    <w:p>
      <w:pPr>
        <w:pStyle w:val="ListParagraph"/>
        <w:numPr>
          <w:ilvl w:val="0"/>
          <w:numId w:val="2"/>
        </w:numPr>
        <w:bidi/>
        <w:spacing w:after="120" w:line="360" w:lineRule="auto"/>
        <w:jc w:val="both"/>
      </w:pPr>
      <w:r>
        <w:rPr>
          <w:rFonts w:ascii="David" w:cs="David" w:eastAsia="David" w:hAnsi="David"/>
          <w:b/>
          <w:bCs/>
          <w:sz w:val="24"/>
          <w:szCs w:val="24"/>
          <w:rtl/>
        </w:rPr>
        <w:t xml:space="preserve">המזונות:</w:t>
      </w:r>
      <w:r>
        <w:rPr>
          <w:rFonts w:ascii="David" w:cs="David" w:eastAsia="David" w:hAnsi="David"/>
          <w:sz w:val="24"/>
          <w:szCs w:val="24"/>
          <w:rtl/>
        </w:rPr>
        <w:t xml:space="preserve"> האישה מתנגדת לבקשה לבטל את המזונות הזמניים, שהוכנסה בסוגריים בסעיף 18 לבקשה, ומבקשת לדחותה על הסף. ביטול מזונות הוא סעד מהותי המחייב בקשה מנומקת, והבקשה אינה כוללת ולו נימוק אחד. חיוב הבעל במזונות אשתו עומד כל עוד היא אינה מסרבת לחיות עמו, ואישה המבקשת שלום בית, כפי שטוען הבעל עצמו, זכאית למזונות. בקשה לשלול את מזונות האישה דווקא בפתח תקופת שיקום סותרת את ההצהרה על רצון בשלום בית.</w:t>
      </w:r>
    </w:p>
    <w:p>
      <w:pPr>
        <w:pStyle w:val="ListParagraph"/>
        <w:numPr>
          <w:ilvl w:val="0"/>
          <w:numId w:val="2"/>
        </w:numPr>
        <w:bidi/>
        <w:spacing w:after="120" w:line="360" w:lineRule="auto"/>
        <w:jc w:val="both"/>
      </w:pPr>
      <w:r>
        <w:rPr>
          <w:rFonts w:ascii="David" w:cs="David" w:eastAsia="David" w:hAnsi="David"/>
          <w:b/>
          <w:bCs/>
          <w:sz w:val="24"/>
          <w:szCs w:val="24"/>
          <w:rtl/>
        </w:rPr>
        <w:t xml:space="preserve">המתווה המוצע:</w:t>
      </w:r>
    </w:p>
    <w:p>
      <w:pPr>
        <w:pStyle w:val="ListParagraph"/>
        <w:numPr>
          <w:ilvl w:val="0"/>
          <w:numId w:val="3"/>
        </w:numPr>
        <w:bidi/>
        <w:spacing w:after="120" w:line="360" w:lineRule="auto"/>
        <w:jc w:val="both"/>
      </w:pPr>
      <w:r>
        <w:rPr>
          <w:rFonts w:ascii="David" w:cs="David" w:eastAsia="David" w:hAnsi="David"/>
          <w:sz w:val="24"/>
          <w:szCs w:val="24"/>
          <w:rtl/>
        </w:rPr>
        <w:t xml:space="preserve">תקופת ניסיון של שישה חודשים לפחות, ממועד מתן ההחלטה.</w:t>
      </w:r>
    </w:p>
    <w:p>
      <w:pPr>
        <w:pStyle w:val="ListParagraph"/>
        <w:numPr>
          <w:ilvl w:val="0"/>
          <w:numId w:val="3"/>
        </w:numPr>
        <w:bidi/>
        <w:spacing w:after="120" w:line="360" w:lineRule="auto"/>
        <w:jc w:val="both"/>
      </w:pPr>
      <w:r>
        <w:rPr>
          <w:rFonts w:ascii="David" w:cs="David" w:eastAsia="David" w:hAnsi="David"/>
          <w:sz w:val="24"/>
          <w:szCs w:val="24"/>
          <w:rtl/>
        </w:rPr>
        <w:t xml:space="preserve">טיפול זוגי אצל מטפל מתוך רשימת המטפלים המוכרים על ידי בית הדין, שייבחר בהסכמה בתוך 14 ימים, ובהיעדר הסכמה ימונה על ידי בית הדין. עלות הטיפול תחול על הצדדים בחלקים שווים.</w:t>
      </w:r>
    </w:p>
    <w:p>
      <w:pPr>
        <w:pStyle w:val="ListParagraph"/>
        <w:numPr>
          <w:ilvl w:val="0"/>
          <w:numId w:val="3"/>
        </w:numPr>
        <w:bidi/>
        <w:spacing w:after="120" w:line="360" w:lineRule="auto"/>
        <w:jc w:val="both"/>
      </w:pPr>
      <w:r>
        <w:rPr>
          <w:rFonts w:ascii="David" w:cs="David" w:eastAsia="David" w:hAnsi="David"/>
          <w:sz w:val="24"/>
          <w:szCs w:val="24"/>
          <w:rtl/>
        </w:rPr>
        <w:t xml:space="preserve">הבעל ימשיך לשלם את המזונות הזמניים במלואם ובמועדם. חזרתו לבית לא תהווה עילה להפחתתם או לביטולם.</w:t>
      </w:r>
    </w:p>
    <w:p>
      <w:pPr>
        <w:pStyle w:val="ListParagraph"/>
        <w:numPr>
          <w:ilvl w:val="0"/>
          <w:numId w:val="3"/>
        </w:numPr>
        <w:bidi/>
        <w:spacing w:after="120" w:line="360" w:lineRule="auto"/>
        <w:jc w:val="both"/>
      </w:pPr>
      <w:r>
        <w:rPr>
          <w:rFonts w:ascii="David" w:cs="David" w:eastAsia="David" w:hAnsi="David"/>
          <w:sz w:val="24"/>
          <w:szCs w:val="24"/>
          <w:rtl/>
        </w:rPr>
        <w:t xml:space="preserve">יתר ההסדרים הקיימים יעמדו בתוקפם, למעט צו ההגנה, שיבוטל עם מתן ההחלטה. הבעל ישוב לבית בד בבד עם תחילת הטיפול הזוגי.</w:t>
      </w:r>
    </w:p>
    <w:p>
      <w:pPr>
        <w:pStyle w:val="ListParagraph"/>
        <w:numPr>
          <w:ilvl w:val="0"/>
          <w:numId w:val="3"/>
        </w:numPr>
        <w:bidi/>
        <w:spacing w:after="120" w:line="360" w:lineRule="auto"/>
        <w:jc w:val="both"/>
      </w:pPr>
      <w:r>
        <w:rPr>
          <w:rFonts w:ascii="David" w:cs="David" w:eastAsia="David" w:hAnsi="David"/>
          <w:sz w:val="24"/>
          <w:szCs w:val="24"/>
          <w:rtl/>
        </w:rPr>
        <w:t xml:space="preserve">הצדדים יימנעו מכל אלימות, איום או הטרדה. בכל הפרה תוכל האישה לפנות בבקשה דחופה לחידוש צו ההגנה, לרבות במעמד צד אחד.</w:t>
      </w:r>
    </w:p>
    <w:p>
      <w:pPr>
        <w:pStyle w:val="ListParagraph"/>
        <w:numPr>
          <w:ilvl w:val="0"/>
          <w:numId w:val="3"/>
        </w:numPr>
        <w:bidi/>
        <w:spacing w:after="120" w:line="360" w:lineRule="auto"/>
        <w:jc w:val="both"/>
      </w:pPr>
      <w:r>
        <w:rPr>
          <w:rFonts w:ascii="David" w:cs="David" w:eastAsia="David" w:hAnsi="David"/>
          <w:sz w:val="24"/>
          <w:szCs w:val="24"/>
          <w:rtl/>
        </w:rPr>
        <w:t xml:space="preserve">בתום התקופה יגישו הצדדים הודעת עדכון לבית הדין. כל טענות הצדדים שמורות להם.</w:t>
      </w:r>
    </w:p>
    <w:p>
      <w:pPr>
        <w:pStyle w:val="ListParagraph"/>
        <w:numPr>
          <w:ilvl w:val="0"/>
          <w:numId w:val="2"/>
        </w:numPr>
        <w:bidi/>
        <w:spacing w:after="120" w:line="360" w:lineRule="auto"/>
        <w:jc w:val="both"/>
      </w:pPr>
      <w:r>
        <w:rPr>
          <w:rFonts w:ascii="David" w:cs="David" w:eastAsia="David" w:hAnsi="David"/>
          <w:sz w:val="24"/>
          <w:szCs w:val="24"/>
          <w:rtl/>
        </w:rPr>
        <w:t xml:space="preserve">אשר על כן, מתבקש בית הדין הנכבד לאמץ את המתווה ולתת לו תוקף של החלטה; לבטל את הדיון רק אם הבעל יודיע בכתב על הסכמתו למתווה, ואחרת לקיימו במועדו; ולדחות את הבקשה להגשת תצהיר ואת הבקשה לביטול המזונות הזמניים.</w:t>
      </w:r>
    </w:p>
    <w:p>
      <w:pPr>
        <w:bidi/>
        <w:spacing w:after="200"/>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היום, __.10.2026</w:t>
            </w:r>
          </w:p>
        </w:tc>
        <w:tc>
          <w:tcPr>
            <w:tcW w:type="dxa" w:w="4536"/>
            <w:tcBorders>
              <w:top w:val="none" w:color="FFFFFF" w:sz="0"/>
              <w:left w:val="none" w:color="FFFFFF" w:sz="0"/>
              <w:bottom w:val="none" w:color="FFFFFF" w:sz="0"/>
              <w:right w:val="none" w:color="FFFFFF" w:sz="0"/>
            </w:tcBorders>
          </w:tcPr>
          <w:p>
            <w:pPr>
              <w:bidi/>
              <w:spacing w:after="40"/>
              <w:jc w:val="center"/>
            </w:pPr>
            <w:r>
              <w:rPr>
                <w:rFonts w:ascii="David" w:cs="David" w:eastAsia="David" w:hAnsi="David"/>
                <w:sz w:val="24"/>
                <w:szCs w:val="24"/>
                <w:rtl/>
              </w:rPr>
              <w:t xml:space="preserve">בכבוד רב,</w:t>
            </w:r>
          </w:p>
          <w:p>
            <w:pPr>
              <w:bidi/>
              <w:spacing w:after="40"/>
              <w:jc w:val="center"/>
            </w:pPr>
            <w:r>
              <w:rPr>
                <w:rFonts w:ascii="David" w:cs="David" w:eastAsia="David" w:hAnsi="David"/>
                <w:sz w:val="24"/>
                <w:szCs w:val="24"/>
                <w:rtl/>
              </w:rPr>
              <w:t xml:space="preserve">______________________</w:t>
            </w:r>
          </w:p>
          <w:p>
            <w:pPr>
              <w:bidi/>
              <w:spacing w:after="40"/>
              <w:jc w:val="center"/>
            </w:pPr>
            <w:r>
              <w:rPr>
                <w:rFonts w:ascii="David" w:cs="David" w:eastAsia="David" w:hAnsi="David"/>
                <w:sz w:val="24"/>
                <w:szCs w:val="24"/>
                <w:rtl/>
              </w:rPr>
              <w:t xml:space="preserve">__________, עו"ד</w:t>
            </w:r>
          </w:p>
          <w:p>
            <w:pPr>
              <w:bidi/>
              <w:spacing w:after="40"/>
              <w:jc w:val="center"/>
            </w:pPr>
            <w:r>
              <w:rPr>
                <w:rFonts w:ascii="David" w:cs="David" w:eastAsia="David" w:hAnsi="David"/>
                <w:b/>
                <w:bCs/>
                <w:sz w:val="24"/>
                <w:szCs w:val="24"/>
                <w:rtl/>
              </w:rPr>
              <w:t xml:space="preserve">ב"כ האישה</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hebrew2"/>
      <w:suff w:val="tab"/>
      <w:lvlText w:val="%1."/>
      <w:lvlJc w:val="start"/>
      <w:pPr>
        <w:ind w:left="1134" w:hanging="56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2026-10-13T09:28:09.357Z</dcterms:created>
  <dcterms:modified xsi:type="dcterms:W3CDTF">2026-10-13T09:28:09.367Z</dcterms:modified>
</cp:coreProperties>
</file>

<file path=docProps/custom.xml><?xml version="1.0" encoding="utf-8"?>
<Properties xmlns="http://schemas.openxmlformats.org/officeDocument/2006/custom-properties" xmlns:vt="http://schemas.openxmlformats.org/officeDocument/2006/docPropsVTypes"/>
</file>