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לשכת ההוצאה לפועל, מסלול מזונות מחוז מרכז</w:t>
            </w:r>
          </w:p>
          <w:p>
            <w:pPr>
              <w:bidi/>
              <w:spacing w:after="40"/>
              <w:jc w:val="start"/>
            </w:pPr>
            <w:r>
              <w:rPr>
                <w:rFonts w:ascii="David" w:cs="David" w:eastAsia="David" w:hAnsi="David"/>
                <w:sz w:val="24"/>
                <w:szCs w:val="24"/>
                <w:rtl/>
              </w:rPr>
              <w:t xml:space="preserve">בפני כב' הרשמת מרים סגל</w:t>
            </w:r>
          </w:p>
        </w:tc>
        <w:tc>
          <w:tcPr>
            <w:tcW w:type="dxa" w:w="4536"/>
            <w:tcBorders>
              <w:top w:val="none" w:color="FFFFFF" w:sz="0"/>
              <w:left w:val="none" w:color="FFFFFF" w:sz="0"/>
              <w:bottom w:val="none" w:color="FFFFFF" w:sz="0"/>
              <w:right w:val="none" w:color="FFFFFF" w:sz="0"/>
            </w:tcBorders>
          </w:tcPr>
          <w:p>
            <w:pPr>
              <w:bidi/>
              <w:spacing w:after="40"/>
              <w:jc w:val="end"/>
            </w:pPr>
            <w:r>
              <w:rPr>
                <w:rFonts w:ascii="David" w:cs="David" w:eastAsia="David" w:hAnsi="David"/>
                <w:b/>
                <w:bCs/>
                <w:sz w:val="24"/>
                <w:szCs w:val="24"/>
                <w:rtl/>
              </w:rPr>
              <w:t xml:space="preserve">תיק מס' 542780-03-25</w:t>
            </w:r>
          </w:p>
        </w:tc>
      </w:tr>
    </w:tbl>
    <w:p>
      <w:pPr>
        <w:bidi/>
        <w:spacing w:after="0" w:before="160"/>
        <w:jc w:val="start"/>
      </w:pPr>
      <w:r>
        <w:rPr>
          <w:rFonts w:ascii="David" w:cs="David" w:eastAsia="David" w:hAnsi="David"/>
          <w:b/>
          <w:bCs/>
          <w:sz w:val="24"/>
          <w:szCs w:val="24"/>
          <w:rtl/>
        </w:rPr>
        <w:t xml:space="preserve">המבקש (החייב): </w:t>
      </w:r>
      <w:r>
        <w:rPr>
          <w:rFonts w:ascii="David" w:cs="David" w:eastAsia="David" w:hAnsi="David"/>
          <w:sz w:val="24"/>
          <w:szCs w:val="24"/>
          <w:rtl/>
        </w:rPr>
        <w:t xml:space="preserve">באביי בילילין, ת"ז 328811385</w:t>
      </w:r>
    </w:p>
    <w:p>
      <w:pPr>
        <w:bidi/>
        <w:spacing w:after="0"/>
        <w:jc w:val="start"/>
      </w:pPr>
      <w:r>
        <w:rPr>
          <w:rFonts w:ascii="David" w:cs="David" w:eastAsia="David" w:hAnsi="David"/>
          <w:sz w:val="24"/>
          <w:szCs w:val="24"/>
          <w:rtl/>
        </w:rPr>
        <w:t xml:space="preserve">ע"י ב"כ עו"ד סולומון טקה</w:t>
      </w:r>
    </w:p>
    <w:p>
      <w:pPr>
        <w:bidi/>
        <w:spacing w:after="200"/>
        <w:jc w:val="start"/>
      </w:pPr>
      <w:r>
        <w:rPr>
          <w:rFonts w:ascii="David" w:cs="David" w:eastAsia="David" w:hAnsi="David"/>
          <w:b/>
          <w:bCs/>
          <w:sz w:val="24"/>
          <w:szCs w:val="24"/>
          <w:rtl/>
        </w:rPr>
        <w:t xml:space="preserve">הזוכה: </w:t>
      </w:r>
      <w:r>
        <w:rPr>
          <w:rFonts w:ascii="David" w:cs="David" w:eastAsia="David" w:hAnsi="David"/>
          <w:sz w:val="24"/>
          <w:szCs w:val="24"/>
          <w:rtl/>
        </w:rPr>
        <w:t xml:space="preserve">המוסד לביטוח לאומי</w:t>
      </w:r>
    </w:p>
    <w:p>
      <w:pPr>
        <w:bidi/>
        <w:spacing w:after="200"/>
        <w:jc w:val="center"/>
      </w:pPr>
      <w:r>
        <w:rPr>
          <w:rFonts w:ascii="David" w:cs="David" w:eastAsia="David" w:hAnsi="David"/>
          <w:b/>
          <w:bCs/>
          <w:sz w:val="26"/>
          <w:szCs w:val="26"/>
          <w:u w:val="single"/>
          <w:rtl/>
        </w:rPr>
        <w:t xml:space="preserve">בקשה דחופה ליישום החלטת עיכוב ההליכים, להשבת כספים ולהפסקת הגדלת החוב</w:t>
      </w:r>
    </w:p>
    <w:p>
      <w:pPr>
        <w:pStyle w:val="ListParagraph"/>
        <w:numPr>
          <w:ilvl w:val="0"/>
          <w:numId w:val="2"/>
        </w:numPr>
        <w:bidi/>
        <w:spacing w:after="100" w:line="300" w:lineRule="auto"/>
        <w:jc w:val="both"/>
      </w:pPr>
      <w:r>
        <w:rPr>
          <w:rFonts w:ascii="David" w:cs="David" w:eastAsia="David" w:hAnsi="David"/>
          <w:sz w:val="24"/>
          <w:szCs w:val="24"/>
          <w:rtl/>
        </w:rPr>
        <w:t xml:space="preserve">ביום 18.8.2026 הורה בית המשפט לענייני משפחה בראשון לציון (כב' השופטת מירב אליהו, תמ"ש 49199-09-23, בקשה מס' 13) "על עיכוב הליכים בתיק ההוצאה לפועל כמבוקש". ההחלטה ניתנה במסגרת ההליך לביטול פסק הדין למזונות שניתן נגד המבקש במעמד צד אחד ביום 24.12.2023, בעת ששירת במילואים, ובו עתר המבקש גם לעיכוב ביצועו של פסק הדין. ההחלטה מצורפת.</w:t>
      </w:r>
    </w:p>
    <w:p>
      <w:pPr>
        <w:pStyle w:val="ListParagraph"/>
        <w:numPr>
          <w:ilvl w:val="0"/>
          <w:numId w:val="2"/>
        </w:numPr>
        <w:bidi/>
        <w:spacing w:after="100" w:line="300" w:lineRule="auto"/>
        <w:jc w:val="both"/>
      </w:pPr>
      <w:r>
        <w:rPr>
          <w:rFonts w:ascii="David" w:cs="David" w:eastAsia="David" w:hAnsi="David"/>
          <w:sz w:val="24"/>
          <w:szCs w:val="24"/>
          <w:rtl/>
        </w:rPr>
        <w:t xml:space="preserve">בהחלטת כבוד הרשמת מיום 22.9.2026 (בקשה מס' 44) נקבע במפורש כי "ההליכים בתיק מעוכבים על פי החלטת בית משפט הנכבד".</w:t>
      </w:r>
    </w:p>
    <w:p>
      <w:pPr>
        <w:pStyle w:val="ListParagraph"/>
        <w:numPr>
          <w:ilvl w:val="0"/>
          <w:numId w:val="2"/>
        </w:numPr>
        <w:bidi/>
        <w:spacing w:after="100" w:line="300" w:lineRule="auto"/>
        <w:jc w:val="both"/>
      </w:pPr>
      <w:r>
        <w:rPr>
          <w:rFonts w:ascii="David" w:cs="David" w:eastAsia="David" w:hAnsi="David"/>
          <w:sz w:val="24"/>
          <w:szCs w:val="24"/>
          <w:rtl/>
        </w:rPr>
        <w:t xml:space="preserve">למרות זאת, ביום 15.9.2026, כחודש לאחר מתן העיכוב, מומש העיקול בחשבון הבנק המשותף למבקש ולרעייתו (בנק הפועלים, סניף 768, חשבון 474964), ונגבה ממנו לתיק סך של 8,869 ₪. זאת אף שהחלטת העיכוב נמסרה לזוכה כפי שהורה בית המשפט. מדובר בפעולת גבייה שנעשתה בניגוד מפורש להחלטת בית המשפט, ושפוגעת גם ברעייתו של המבקש, שאינה חייבת בתיק.</w:t>
      </w:r>
    </w:p>
    <w:p>
      <w:pPr>
        <w:pStyle w:val="ListParagraph"/>
        <w:numPr>
          <w:ilvl w:val="0"/>
          <w:numId w:val="2"/>
        </w:numPr>
        <w:bidi/>
        <w:spacing w:after="100" w:line="300" w:lineRule="auto"/>
        <w:jc w:val="both"/>
      </w:pPr>
      <w:r>
        <w:rPr>
          <w:rFonts w:ascii="David" w:cs="David" w:eastAsia="David" w:hAnsi="David"/>
          <w:sz w:val="24"/>
          <w:szCs w:val="24"/>
          <w:rtl/>
        </w:rPr>
        <w:t xml:space="preserve">בנוסף, ביום 22.9.2026 הוגדלה קרן החוב בתיק בסך של 3,431 ₪, ויתרת החוב המעודכנת עומדת על 101,996 ₪, לעומת חוב מקורי של 52,728 ₪. הגדלת הקרן מכוח פסק דין שתוקפו עומד לבירור, ושההליכים לביצועו מעוכבים, היא עצמה פעולת ביצוע של פסק הדין, והיא מרוקנת את העיכוב מתוכנו.</w:t>
      </w:r>
    </w:p>
    <w:p>
      <w:pPr>
        <w:pStyle w:val="ListParagraph"/>
        <w:numPr>
          <w:ilvl w:val="0"/>
          <w:numId w:val="2"/>
        </w:numPr>
        <w:bidi/>
        <w:spacing w:after="100" w:line="300" w:lineRule="auto"/>
        <w:jc w:val="both"/>
      </w:pPr>
      <w:r>
        <w:rPr>
          <w:rFonts w:ascii="David" w:cs="David" w:eastAsia="David" w:hAnsi="David"/>
          <w:sz w:val="24"/>
          <w:szCs w:val="24"/>
          <w:rtl/>
        </w:rPr>
        <w:t xml:space="preserve">אין מדובר בבקשה לדון מחדש בחוב, אלא בבקשה ליישם בפועל החלטה קיימת, שכבוד הרשמת כבר הכירה בה.</w:t>
      </w:r>
    </w:p>
    <w:p>
      <w:pPr>
        <w:pStyle w:val="ListParagraph"/>
        <w:numPr>
          <w:ilvl w:val="0"/>
          <w:numId w:val="2"/>
        </w:numPr>
        <w:bidi/>
        <w:spacing w:after="100" w:line="300" w:lineRule="auto"/>
        <w:jc w:val="both"/>
      </w:pPr>
      <w:r>
        <w:rPr>
          <w:rFonts w:ascii="David" w:cs="David" w:eastAsia="David" w:hAnsi="David"/>
          <w:sz w:val="24"/>
          <w:szCs w:val="24"/>
          <w:rtl/>
        </w:rPr>
        <w:t xml:space="preserve">לפיכך מתבקשת כבוד הרשמת להורות: (א) על הפסקה מיידית של כל ההליכים בתיק, לרבות העיקול בחשבון המשותף, ועל הודעה על כך לבנק; (ב) על השבת סך 8,869 ₪ שנגבה ביום 15.9.2026 לחשבון המשותף; (ג) על הפסקת הגדלת החוב בתקופת העיכוב, ולחלופין על המצאת פירוט של כל סכום שנוסף לחוב מאז 18.8.2026 ומקורו, ועל ביטול כל אגרה או הוצאה שנרשמו בשל פעולות אכיפה לאחר מועד זה.</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sz w:val="24"/>
                <w:szCs w:val="24"/>
                <w:rtl/>
              </w:rPr>
              <w:t xml:space="preserve"/>
            </w:r>
          </w:p>
          <w:p>
            <w:pPr>
              <w:bidi/>
              <w:spacing w:after="40"/>
              <w:jc w:val="start"/>
            </w:pPr>
            <w:r>
              <w:rPr>
                <w:rFonts w:ascii="David" w:cs="David" w:eastAsia="David" w:hAnsi="David"/>
                <w:sz w:val="24"/>
                <w:szCs w:val="24"/>
                <w:rtl/>
              </w:rPr>
              <w:t xml:space="preserve">תאריך: ____________</w:t>
            </w:r>
          </w:p>
        </w:tc>
        <w:tc>
          <w:tcPr>
            <w:tcW w:type="dxa" w:w="4536"/>
            <w:tcBorders>
              <w:top w:val="none" w:color="FFFFFF" w:sz="0"/>
              <w:left w:val="none" w:color="FFFFFF" w:sz="0"/>
              <w:bottom w:val="none" w:color="FFFFFF" w:sz="0"/>
              <w:right w:val="none" w:color="FFFFFF" w:sz="0"/>
            </w:tcBorders>
          </w:tcPr>
          <w:p>
            <w:pPr>
              <w:bidi/>
              <w:spacing w:after="40"/>
              <w:jc w:val="end"/>
            </w:pPr>
            <w:r>
              <w:rPr>
                <w:rFonts w:ascii="David" w:cs="David" w:eastAsia="David" w:hAnsi="David"/>
                <w:sz w:val="24"/>
                <w:szCs w:val="24"/>
                <w:rtl/>
              </w:rPr>
              <w:t xml:space="preserve">____________________</w:t>
            </w:r>
          </w:p>
          <w:p>
            <w:pPr>
              <w:bidi/>
              <w:spacing w:after="40"/>
              <w:jc w:val="end"/>
            </w:pPr>
            <w:r>
              <w:rPr>
                <w:rFonts w:ascii="David" w:cs="David" w:eastAsia="David" w:hAnsi="David"/>
                <w:b/>
                <w:bCs/>
                <w:sz w:val="24"/>
                <w:szCs w:val="24"/>
                <w:rtl/>
              </w:rPr>
              <w:t xml:space="preserve">סולומון טקה, עו"ד</w:t>
            </w:r>
          </w:p>
          <w:p>
            <w:pPr>
              <w:bidi/>
              <w:spacing w:after="40"/>
              <w:jc w:val="end"/>
            </w:pPr>
            <w:r>
              <w:rPr>
                <w:rFonts w:ascii="David" w:cs="David" w:eastAsia="David" w:hAnsi="David"/>
                <w:b/>
                <w:bCs/>
                <w:sz w:val="24"/>
                <w:szCs w:val="24"/>
                <w:rtl/>
              </w:rPr>
              <w:t xml:space="preserve">ב"כ המבקש</w:t>
            </w:r>
          </w:p>
        </w:tc>
      </w:tr>
    </w:tbl>
    <w:p>
      <w:pPr>
        <w:bidi/>
        <w:spacing w:after="0" w:before="200"/>
        <w:jc w:val="start"/>
      </w:pPr>
      <w:r>
        <w:rPr>
          <w:rFonts w:ascii="David" w:cs="David" w:eastAsia="David" w:hAnsi="David"/>
          <w:b/>
          <w:bCs/>
          <w:sz w:val="24"/>
          <w:szCs w:val="24"/>
          <w:rtl/>
        </w:rPr>
        <w:t xml:space="preserve">מצורף: </w:t>
      </w:r>
      <w:r>
        <w:rPr>
          <w:rFonts w:ascii="David" w:cs="David" w:eastAsia="David" w:hAnsi="David"/>
          <w:sz w:val="24"/>
          <w:szCs w:val="24"/>
          <w:rtl/>
        </w:rPr>
        <w:t xml:space="preserve">העתק החלטת בית המשפט לענייני משפחה בראשון לציון מיום 18.8.2026.</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abstractNum>
  <w:abstractNum w:abstractNumId="3" w15:restartNumberingAfterBreak="0">
    <w:multiLevelType w:val="hybridMultilevel"/>
    <w:lvl w:ilvl="0" w15:tentative="1">
      <w:start w:val="1"/>
      <w:numFmt w:val="decimal"/>
      <w:suff w:val="tab"/>
      <w:lvlText w:val="%1."/>
      <w:lvlJc w:val="start"/>
      <w:pPr>
        <w:ind w:left="567" w:hanging="56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2026-09-23T09:45:37.212Z</dcterms:created>
  <dcterms:modified xsi:type="dcterms:W3CDTF">2026-09-23T09:45:37.224Z</dcterms:modified>
</cp:coreProperties>
</file>

<file path=docProps/custom.xml><?xml version="1.0" encoding="utf-8"?>
<Properties xmlns="http://schemas.openxmlformats.org/officeDocument/2006/custom-properties" xmlns:vt="http://schemas.openxmlformats.org/officeDocument/2006/docPropsVTypes"/>
</file>