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bidi w:val="1"/>
        <w:spacing w:after="40" w:before="0" w:line="240" w:lineRule="auto"/>
        <w:jc w:val="right"/>
      </w:pPr>
      <w:r>
        <w:rPr>
          <w:rFonts w:ascii="David" w:hAnsi="David" w:cs="David"/>
          <w:b/>
          <w:sz w:val="24"/>
          <w:u w:val="single"/>
          <w:rtl w:val="1"/>
          <w:szCs w:val="24"/>
          <w:bCs w:val="1"/>
        </w:rPr>
        <w:t>בבית המשפט לענייני משפחה בחיפה</w:t>
      </w:r>
    </w:p>
    <w:p>
      <w:pPr>
        <w:keepNext w:val="0"/>
        <w:bidi w:val="1"/>
        <w:spacing w:after="40" w:before="0" w:line="240" w:lineRule="auto"/>
        <w:jc w:val="right"/>
      </w:pPr>
      <w:r>
        <w:rPr>
          <w:rFonts w:ascii="David" w:hAnsi="David" w:cs="David"/>
          <w:b/>
          <w:sz w:val="24"/>
          <w:u w:val="none"/>
          <w:rtl w:val="1"/>
          <w:szCs w:val="24"/>
          <w:bCs w:val="1"/>
        </w:rPr>
        <w:t>תלה"מ 61495-10-25</w:t>
      </w:r>
    </w:p>
    <w:p>
      <w:pPr>
        <w:keepNext w:val="0"/>
        <w:bidi w:val="1"/>
        <w:spacing w:after="160" w:before="0" w:line="240" w:lineRule="auto"/>
        <w:jc w:val="right"/>
      </w:pPr>
      <w:r>
        <w:rPr>
          <w:rFonts w:ascii="David" w:hAnsi="David" w:cs="David"/>
          <w:b/>
          <w:sz w:val="24"/>
          <w:u w:val="none"/>
          <w:rtl w:val="1"/>
          <w:szCs w:val="24"/>
          <w:bCs w:val="1"/>
        </w:rPr>
        <w:t>בפני כב' השופטת הילה גורביץ עובדיה</w:t>
      </w:r>
    </w:p>
    <w:p>
      <w:pPr>
        <w:keepNext w:val="0"/>
        <w:bidi w:val="1"/>
        <w:spacing w:after="120" w:before="0" w:line="240" w:lineRule="auto"/>
        <w:jc w:val="right"/>
      </w:pPr>
      <w:r>
        <w:rPr>
          <w:rFonts w:ascii="David" w:hAnsi="David" w:cs="David"/>
          <w:b/>
          <w:sz w:val="24"/>
          <w:u w:val="single"/>
          <w:rtl w:val="1"/>
          <w:szCs w:val="24"/>
          <w:bCs w:val="1"/>
        </w:rPr>
        <w:t>בעניין:</w:t>
      </w:r>
    </w:p>
    <w:p>
      <w:pPr>
        <w:keepNext w:val="0"/>
        <w:bidi w:val="1"/>
        <w:spacing w:after="40" w:before="0" w:line="240" w:lineRule="auto"/>
        <w:jc w:val="right"/>
      </w:pPr>
      <w:r>
        <w:rPr>
          <w:rFonts w:ascii="David" w:hAnsi="David" w:cs="David"/>
          <w:b/>
          <w:sz w:val="24"/>
          <w:u w:val="single"/>
          <w:rtl w:val="1"/>
          <w:szCs w:val="24"/>
          <w:bCs w:val="1"/>
        </w:rPr>
        <w:t>המבקש:</w:t>
      </w:r>
      <w:r>
        <w:rPr>
          <w:rFonts w:ascii="David" w:hAnsi="David" w:cs="David"/>
          <w:b w:val="0"/>
          <w:sz w:val="24"/>
          <w:u w:val="none"/>
          <w:rtl w:val="1"/>
          <w:szCs w:val="24"/>
        </w:rPr>
        <w:t xml:space="preserve">   </w:t>
      </w:r>
      <w:r>
        <w:rPr>
          <w:rFonts w:ascii="David" w:hAnsi="David" w:cs="David"/>
          <w:b w:val="0"/>
          <w:sz w:val="24"/>
          <w:u w:val="none"/>
          <w:rtl w:val="1"/>
          <w:szCs w:val="24"/>
        </w:rPr>
        <w:t>_______________, ת.ז. _______________</w:t>
      </w:r>
    </w:p>
    <w:p>
      <w:pPr>
        <w:keepNext w:val="0"/>
        <w:bidi w:val="1"/>
        <w:spacing w:after="40" w:before="0" w:line="240" w:lineRule="auto"/>
        <w:ind w:right="1247"/>
        <w:jc w:val="right"/>
      </w:pPr>
      <w:r>
        <w:rPr>
          <w:rFonts w:ascii="David" w:hAnsi="David" w:cs="David"/>
          <w:b w:val="0"/>
          <w:sz w:val="24"/>
          <w:u w:val="none"/>
          <w:rtl w:val="1"/>
          <w:szCs w:val="24"/>
        </w:rPr>
        <w:t>ע"י ב"כ עו"ד _______________</w:t>
      </w:r>
    </w:p>
    <w:p>
      <w:pPr>
        <w:keepNext w:val="0"/>
        <w:bidi w:val="1"/>
        <w:spacing w:after="120" w:before="0" w:line="240" w:lineRule="auto"/>
        <w:ind w:right="1247"/>
        <w:jc w:val="right"/>
      </w:pPr>
      <w:r>
        <w:rPr>
          <w:rFonts w:ascii="David" w:hAnsi="David" w:cs="David"/>
          <w:b w:val="0"/>
          <w:sz w:val="24"/>
          <w:u w:val="none"/>
          <w:rtl w:val="1"/>
          <w:szCs w:val="24"/>
        </w:rPr>
        <w:t>(להלן: "המבקש")</w:t>
      </w:r>
    </w:p>
    <w:p>
      <w:pPr>
        <w:keepNext w:val="0"/>
        <w:bidi w:val="1"/>
        <w:spacing w:after="120" w:before="0" w:line="240" w:lineRule="auto"/>
        <w:jc w:val="center"/>
      </w:pPr>
      <w:r>
        <w:rPr>
          <w:rFonts w:ascii="David" w:hAnsi="David" w:cs="David"/>
          <w:b/>
          <w:sz w:val="24"/>
          <w:u w:val="none"/>
          <w:rtl w:val="1"/>
          <w:szCs w:val="24"/>
          <w:bCs w:val="1"/>
        </w:rPr>
        <w:t>–  נ ג ד  –</w:t>
      </w:r>
    </w:p>
    <w:p>
      <w:pPr>
        <w:keepNext w:val="0"/>
        <w:bidi w:val="1"/>
        <w:spacing w:after="40" w:before="0" w:line="240" w:lineRule="auto"/>
        <w:jc w:val="right"/>
      </w:pPr>
      <w:r>
        <w:rPr>
          <w:rFonts w:ascii="David" w:hAnsi="David" w:cs="David"/>
          <w:b/>
          <w:sz w:val="24"/>
          <w:u w:val="single"/>
          <w:rtl w:val="1"/>
          <w:szCs w:val="24"/>
          <w:bCs w:val="1"/>
        </w:rPr>
        <w:t>המשיבה:</w:t>
      </w:r>
      <w:r>
        <w:rPr>
          <w:rFonts w:ascii="David" w:hAnsi="David" w:cs="David"/>
          <w:b w:val="0"/>
          <w:sz w:val="24"/>
          <w:u w:val="none"/>
          <w:rtl w:val="1"/>
          <w:szCs w:val="24"/>
        </w:rPr>
        <w:t xml:space="preserve">   </w:t>
      </w:r>
      <w:r>
        <w:rPr>
          <w:rFonts w:ascii="David" w:hAnsi="David" w:cs="David"/>
          <w:b w:val="0"/>
          <w:sz w:val="24"/>
          <w:u w:val="none"/>
          <w:rtl w:val="1"/>
          <w:szCs w:val="24"/>
        </w:rPr>
        <w:t>_______________, ת.ז. _______________</w:t>
      </w:r>
    </w:p>
    <w:p>
      <w:pPr>
        <w:keepNext w:val="0"/>
        <w:bidi w:val="1"/>
        <w:spacing w:after="40" w:before="0" w:line="240" w:lineRule="auto"/>
        <w:ind w:right="1247"/>
        <w:jc w:val="right"/>
      </w:pPr>
      <w:r>
        <w:rPr>
          <w:rFonts w:ascii="David" w:hAnsi="David" w:cs="David"/>
          <w:b w:val="0"/>
          <w:sz w:val="24"/>
          <w:u w:val="none"/>
          <w:rtl w:val="1"/>
          <w:szCs w:val="24"/>
        </w:rPr>
        <w:t>ע"י ב"כ עו"ד עופר גזית</w:t>
      </w:r>
    </w:p>
    <w:p>
      <w:pPr>
        <w:keepNext w:val="0"/>
        <w:bidi w:val="1"/>
        <w:spacing w:after="200" w:before="0" w:line="240" w:lineRule="auto"/>
        <w:ind w:right="1247"/>
        <w:jc w:val="right"/>
      </w:pPr>
      <w:r>
        <w:rPr>
          <w:rFonts w:ascii="David" w:hAnsi="David" w:cs="David"/>
          <w:b w:val="0"/>
          <w:sz w:val="24"/>
          <w:u w:val="none"/>
          <w:rtl w:val="1"/>
          <w:szCs w:val="24"/>
        </w:rPr>
        <w:t>(להלן: "המשיבה")</w:t>
      </w:r>
    </w:p>
    <w:p>
      <w:pPr>
        <w:keepNext w:val="0"/>
        <w:bidi w:val="1"/>
        <w:spacing w:after="200" w:before="80" w:line="240" w:lineRule="auto"/>
        <w:jc w:val="center"/>
      </w:pPr>
      <w:r>
        <w:rPr>
          <w:rFonts w:ascii="David" w:hAnsi="David" w:cs="David"/>
          <w:b/>
          <w:sz w:val="30"/>
          <w:u w:val="single"/>
          <w:rtl w:val="1"/>
          <w:szCs w:val="30"/>
          <w:bCs w:val="1"/>
        </w:rPr>
        <w:t>תגובת המשיבה לבקשה הדחופה למתן הוראות (בקשה 11)</w:t>
      </w:r>
    </w:p>
    <w:p>
      <w:pPr>
        <w:keepNext w:val="0"/>
        <w:bidi w:val="1"/>
        <w:spacing w:after="120" w:before="0" w:line="360" w:lineRule="auto"/>
        <w:jc w:val="both"/>
      </w:pPr>
      <w:r>
        <w:rPr>
          <w:rFonts w:ascii="David" w:hAnsi="David" w:cs="David"/>
          <w:b w:val="0"/>
          <w:sz w:val="24"/>
          <w:u w:val="none"/>
          <w:rtl w:val="1"/>
          <w:szCs w:val="24"/>
        </w:rPr>
        <w:t>בהתאם להחלטת בית המשפט הנכבד מיום 13.8.2026, מתכבדת המשיבה להגיש את תגובתה לבקשת המבקש מיום 12.8.2026 (להלן: "הבקשה"). בית המשפט הנכבד מתבקש בזאת לדחות את הבקשה, ולהורות כדלקמן:</w:t>
      </w:r>
    </w:p>
    <w:p>
      <w:pPr>
        <w:bidi w:val="1"/>
        <w:spacing w:after="80" w:line="360" w:lineRule="auto"/>
        <w:ind w:right="510" w:hanging="510"/>
        <w:jc w:val="both"/>
      </w:pPr>
      <w:r>
        <w:rPr>
          <w:rFonts w:ascii="David" w:hAnsi="David" w:cs="David"/>
          <w:b w:val="0"/>
          <w:sz w:val="24"/>
          <w:u w:val="none"/>
          <w:rtl w:val="1"/>
          <w:szCs w:val="24"/>
        </w:rPr>
        <w:t>א.</w:t>
        <w:tab/>
      </w:r>
      <w:r>
        <w:rPr>
          <w:rFonts w:ascii="David" w:hAnsi="David" w:cs="David"/>
          <w:b w:val="0"/>
          <w:sz w:val="24"/>
          <w:u w:val="none"/>
          <w:rtl w:val="1"/>
          <w:szCs w:val="24"/>
        </w:rPr>
        <w:t>להורות על בחינה מחודשת של זהות הגורם המתאם/המטפל, נוכח היעדר האובייקטיביות והפגיעה באמון שנוצרה במפגש עם הגב' ענבל קיבנסון בר און, ולהימנע מחיוב המשיבה להתייצב אצלה.</w:t>
      </w:r>
    </w:p>
    <w:p>
      <w:pPr>
        <w:bidi w:val="1"/>
        <w:spacing w:after="80" w:line="360" w:lineRule="auto"/>
        <w:ind w:right="510" w:hanging="510"/>
        <w:jc w:val="both"/>
      </w:pPr>
      <w:r>
        <w:rPr>
          <w:rFonts w:ascii="David" w:hAnsi="David" w:cs="David"/>
          <w:b w:val="0"/>
          <w:sz w:val="24"/>
          <w:u w:val="none"/>
          <w:rtl w:val="1"/>
          <w:szCs w:val="24"/>
        </w:rPr>
        <w:t>ב.</w:t>
        <w:tab/>
      </w:r>
      <w:r>
        <w:rPr>
          <w:rFonts w:ascii="David" w:hAnsi="David" w:cs="David"/>
          <w:b w:val="0"/>
          <w:sz w:val="24"/>
          <w:u w:val="none"/>
          <w:rtl w:val="1"/>
          <w:szCs w:val="24"/>
        </w:rPr>
        <w:t>לדחות את הבקשה להורות לגורם המטפל להעביר לבית המשפט הנכבד דו"ח חסוי שלא יועמד לעיון הצדדים.</w:t>
      </w:r>
    </w:p>
    <w:p>
      <w:pPr>
        <w:bidi w:val="1"/>
        <w:spacing w:after="80" w:line="360" w:lineRule="auto"/>
        <w:ind w:right="510" w:hanging="510"/>
        <w:jc w:val="both"/>
      </w:pPr>
      <w:r>
        <w:rPr>
          <w:rFonts w:ascii="David" w:hAnsi="David" w:cs="David"/>
          <w:b w:val="0"/>
          <w:sz w:val="24"/>
          <w:u w:val="none"/>
          <w:rtl w:val="1"/>
          <w:szCs w:val="24"/>
        </w:rPr>
        <w:t>ג.</w:t>
        <w:tab/>
      </w:r>
      <w:r>
        <w:rPr>
          <w:rFonts w:ascii="David" w:hAnsi="David" w:cs="David"/>
          <w:b w:val="0"/>
          <w:sz w:val="24"/>
          <w:u w:val="none"/>
          <w:rtl w:val="1"/>
          <w:szCs w:val="24"/>
        </w:rPr>
        <w:t>להורות על קביעת הסדרי שהות וחלוקת שבתות ברורה, מוגדרת ומחייבת, תוך איסור על קביעת תוכניות מקבילות המייצרות קונפליקט אצל הקטינים.</w:t>
      </w:r>
    </w:p>
    <w:p>
      <w:pPr>
        <w:bidi w:val="1"/>
        <w:spacing w:after="80" w:line="360" w:lineRule="auto"/>
        <w:ind w:right="510" w:hanging="510"/>
        <w:jc w:val="both"/>
      </w:pPr>
      <w:r>
        <w:rPr>
          <w:rFonts w:ascii="David" w:hAnsi="David" w:cs="David"/>
          <w:b w:val="0"/>
          <w:sz w:val="24"/>
          <w:u w:val="none"/>
          <w:rtl w:val="1"/>
          <w:szCs w:val="24"/>
        </w:rPr>
        <w:t>ד.</w:t>
        <w:tab/>
      </w:r>
      <w:r>
        <w:rPr>
          <w:rFonts w:ascii="David" w:hAnsi="David" w:cs="David"/>
          <w:b w:val="0"/>
          <w:sz w:val="24"/>
          <w:u w:val="none"/>
          <w:rtl w:val="1"/>
          <w:szCs w:val="24"/>
        </w:rPr>
        <w:t>ליתן כל סעד נוסף שימצא בית המשפט הנכבד לנכון לשם הגנה על טובת הקטינים ולמניעת הליכי סרק נוספים, ולחייב את המבקש בהוצאות.</w:t>
      </w:r>
    </w:p>
    <w:p>
      <w:pPr>
        <w:keepNext w:val="0"/>
        <w:bidi w:val="1"/>
        <w:spacing w:after="80" w:before="160" w:line="360" w:lineRule="auto"/>
        <w:jc w:val="right"/>
      </w:pPr>
      <w:r>
        <w:rPr>
          <w:rFonts w:ascii="David" w:hAnsi="David" w:cs="David"/>
          <w:b/>
          <w:sz w:val="24"/>
          <w:u w:val="single"/>
          <w:rtl w:val="1"/>
          <w:szCs w:val="24"/>
          <w:bCs w:val="1"/>
        </w:rPr>
        <w:t>ואלו נימוקי התגובה:</w:t>
      </w:r>
    </w:p>
    <w:p>
      <w:pPr>
        <w:keepNext/>
        <w:bidi w:val="1"/>
        <w:spacing w:after="60" w:before="160" w:line="360" w:lineRule="auto"/>
        <w:jc w:val="right"/>
      </w:pPr>
      <w:r>
        <w:rPr>
          <w:rFonts w:ascii="David" w:hAnsi="David" w:cs="David"/>
          <w:b/>
          <w:sz w:val="24"/>
          <w:u w:val="single"/>
          <w:rtl w:val="1"/>
          <w:szCs w:val="24"/>
          <w:bCs w:val="1"/>
        </w:rPr>
        <w:t>רקע — ההסכמות שגובשו ביחידת הסיוע</w:t>
      </w:r>
    </w:p>
    <w:p>
      <w:pPr>
        <w:bidi w:val="1"/>
        <w:spacing w:after="80" w:line="360" w:lineRule="auto"/>
        <w:ind w:right="510" w:hanging="510"/>
        <w:jc w:val="both"/>
      </w:pPr>
      <w:r>
        <w:rPr>
          <w:rFonts w:ascii="David" w:hAnsi="David" w:cs="David"/>
          <w:b w:val="0"/>
          <w:sz w:val="24"/>
          <w:u w:val="none"/>
          <w:rtl w:val="1"/>
          <w:szCs w:val="24"/>
        </w:rPr>
        <w:t>1.</w:t>
        <w:tab/>
      </w:r>
      <w:r>
        <w:rPr>
          <w:rFonts w:ascii="David" w:hAnsi="David" w:cs="David"/>
          <w:b w:val="0"/>
          <w:sz w:val="24"/>
          <w:u w:val="none"/>
          <w:rtl w:val="1"/>
          <w:szCs w:val="24"/>
        </w:rPr>
        <w:t>ביום 1.6.2026 התקיים מפגש ביחידת הסיוע בנוכחות הצדדים ובאי כוחם. במסגרתו גובשו הסכמות מסגרת בעניין זמני השהות, והוסכם כי הצדדים יפנו לגב' ענבל קיבנסון בר און ויחלו אצלה ב"טיפול משפחתי אינטגרטיבי הכולל הדרכת הורים משותפת", וכי יישאו בעלות הטיפולים בחלקים שווים (סעיפים 2(ד)–2(ה) לבקשה).</w:t>
      </w:r>
    </w:p>
    <w:p>
      <w:pPr>
        <w:bidi w:val="1"/>
        <w:spacing w:after="80" w:line="360" w:lineRule="auto"/>
        <w:ind w:right="510" w:hanging="510"/>
        <w:jc w:val="both"/>
      </w:pPr>
      <w:r>
        <w:rPr>
          <w:rFonts w:ascii="David" w:hAnsi="David" w:cs="David"/>
          <w:b w:val="0"/>
          <w:sz w:val="24"/>
          <w:u w:val="none"/>
          <w:rtl w:val="1"/>
          <w:szCs w:val="24"/>
        </w:rPr>
        <w:t>2.</w:t>
        <w:tab/>
      </w:r>
      <w:r>
        <w:rPr>
          <w:rFonts w:ascii="David" w:hAnsi="David" w:cs="David"/>
          <w:b w:val="0"/>
          <w:sz w:val="24"/>
          <w:u w:val="none"/>
          <w:rtl w:val="1"/>
          <w:szCs w:val="24"/>
        </w:rPr>
        <w:t>ודוק; ההסכמה הייתה לפנות למטפלת ולפתוח בהליך טיפולי. לא נטלה בה המשיבה התחייבות בלתי מסויגת ובלתי מוגבלת בזמן להתייצב אצל גורם מסוים, ללא תלות בהתנהלותו בפועל.</w:t>
      </w:r>
    </w:p>
    <w:p>
      <w:pPr>
        <w:bidi w:val="1"/>
        <w:spacing w:after="80" w:line="360" w:lineRule="auto"/>
        <w:ind w:right="510" w:hanging="510"/>
        <w:jc w:val="both"/>
      </w:pPr>
      <w:r>
        <w:rPr>
          <w:rFonts w:ascii="David" w:hAnsi="David" w:cs="David"/>
          <w:b w:val="0"/>
          <w:sz w:val="24"/>
          <w:u w:val="none"/>
          <w:rtl w:val="1"/>
          <w:szCs w:val="24"/>
        </w:rPr>
        <w:t>3.</w:t>
        <w:tab/>
      </w:r>
      <w:r>
        <w:rPr>
          <w:rFonts w:ascii="David" w:hAnsi="David" w:cs="David"/>
          <w:b w:val="0"/>
          <w:sz w:val="24"/>
          <w:u w:val="none"/>
          <w:rtl w:val="1"/>
          <w:szCs w:val="24"/>
        </w:rPr>
        <w:t>ויוער כבר עתה, כי הבקשה הוכתרה כ"דחופה" אף שעניינה באירועים שראשיתם ביום 1.6.2026, והיא הוגשה ביום 12.8.2026 — בחלוף למעלה מחודשיים.</w:t>
      </w:r>
    </w:p>
    <w:p>
      <w:pPr>
        <w:keepNext/>
        <w:bidi w:val="1"/>
        <w:spacing w:after="60" w:before="160" w:line="360" w:lineRule="auto"/>
        <w:jc w:val="right"/>
      </w:pPr>
      <w:r>
        <w:rPr>
          <w:rFonts w:ascii="David" w:hAnsi="David" w:cs="David"/>
          <w:b/>
          <w:sz w:val="24"/>
          <w:u w:val="single"/>
          <w:rtl w:val="1"/>
          <w:szCs w:val="24"/>
          <w:bCs w:val="1"/>
        </w:rPr>
        <w:t>המפגש אצל הגב' קיבנסון בר און</w:t>
      </w:r>
    </w:p>
    <w:p>
      <w:pPr>
        <w:bidi w:val="1"/>
        <w:spacing w:after="80" w:line="360" w:lineRule="auto"/>
        <w:ind w:right="510" w:hanging="510"/>
        <w:jc w:val="both"/>
      </w:pPr>
      <w:r>
        <w:rPr>
          <w:rFonts w:ascii="David" w:hAnsi="David" w:cs="David"/>
          <w:b w:val="0"/>
          <w:sz w:val="24"/>
          <w:u w:val="none"/>
          <w:rtl w:val="1"/>
          <w:szCs w:val="24"/>
        </w:rPr>
        <w:t>4.</w:t>
        <w:tab/>
      </w:r>
      <w:r>
        <w:rPr>
          <w:rFonts w:ascii="David" w:hAnsi="David" w:cs="David"/>
          <w:b w:val="0"/>
          <w:sz w:val="24"/>
          <w:u w:val="none"/>
          <w:rtl w:val="1"/>
          <w:szCs w:val="24"/>
        </w:rPr>
        <w:t>בסעיף 4 לבקשה מפרט המבקש עצמו כי נפגש עם הגב' קיבנסון בר און "מפגש ראשון לבד, מפגש שני עם הקטינים ומפגש שלישי בנוכחות המשיבה". ודוק; עד שהובאה המשיבה בשערי החדר, כבר קיימה המטפלת מפגש אישי עם המבקש וכבר פגשה את הקטינים שלא בנוכחות אמם. בהליך שתכליתו איזון וניטרליות, סדר זה פוגם בהליך עצמו.</w:t>
      </w:r>
    </w:p>
    <w:p>
      <w:pPr>
        <w:bidi w:val="1"/>
        <w:spacing w:after="80" w:line="360" w:lineRule="auto"/>
        <w:ind w:right="510" w:hanging="510"/>
        <w:jc w:val="both"/>
      </w:pPr>
      <w:r>
        <w:rPr>
          <w:rFonts w:ascii="David" w:hAnsi="David" w:cs="David"/>
          <w:b w:val="0"/>
          <w:sz w:val="24"/>
          <w:u w:val="none"/>
          <w:rtl w:val="1"/>
          <w:szCs w:val="24"/>
        </w:rPr>
        <w:t>5.</w:t>
        <w:tab/>
      </w:r>
      <w:r>
        <w:rPr>
          <w:rFonts w:ascii="David" w:hAnsi="David" w:cs="David"/>
          <w:b w:val="0"/>
          <w:sz w:val="24"/>
          <w:u w:val="none"/>
          <w:rtl w:val="1"/>
          <w:szCs w:val="24"/>
        </w:rPr>
        <w:t>במפגש שנערך בנוכחות המשיבה נפגעה זו קשות מהתנהלות בלתי מקצועית. תחת יצירת מרחב טיפולי בטוח ומאזן, זכתה המשיבה ליחס מעליב ושיפוטי ולהטחת האשמות פוגעניות; בין היתר, משעשתה שימוש במונח "התובע" — מונח דיוני המתחייב מן ההליך דנא — הוטח בפניה כי היא "אלימה".</w:t>
      </w:r>
    </w:p>
    <w:p>
      <w:pPr>
        <w:bidi w:val="1"/>
        <w:spacing w:after="80" w:line="360" w:lineRule="auto"/>
        <w:ind w:right="510" w:hanging="510"/>
        <w:jc w:val="both"/>
      </w:pPr>
      <w:r>
        <w:rPr>
          <w:rFonts w:ascii="David" w:hAnsi="David" w:cs="David"/>
          <w:b w:val="0"/>
          <w:sz w:val="24"/>
          <w:u w:val="none"/>
          <w:rtl w:val="1"/>
          <w:szCs w:val="24"/>
        </w:rPr>
        <w:t>6.</w:t>
        <w:tab/>
      </w:r>
      <w:r>
        <w:rPr>
          <w:rFonts w:ascii="David" w:hAnsi="David" w:cs="David"/>
          <w:b w:val="0"/>
          <w:sz w:val="24"/>
          <w:u w:val="none"/>
          <w:rtl w:val="1"/>
          <w:szCs w:val="24"/>
        </w:rPr>
        <w:t>התנהלות זו אינה עולה בקנה אחד עם הסטנדרט המקצועי המצופה מגורם מטפל, והיא מכשילה מראש את היכולת להגיע לתיאום הורי עמוק, יסודי ואובייקטיבי, הנדרש במורכבות המשפחתית דנא. אמון שנפגע כך אינו מושב על כנו בכוחו של צו, והליך טיפולי הנשען על כפייה אינו הליך טיפולי — ומחירו משולם בידי הקטינים. הסעד המתאים אינו חיוב המשיבה להתייצב, כי אם בחינה מחודשת של זהות הגורם המטפל.</w:t>
      </w:r>
    </w:p>
    <w:p>
      <w:pPr>
        <w:keepNext/>
        <w:bidi w:val="1"/>
        <w:spacing w:after="60" w:before="160" w:line="360" w:lineRule="auto"/>
        <w:jc w:val="right"/>
      </w:pPr>
      <w:r>
        <w:rPr>
          <w:rFonts w:ascii="David" w:hAnsi="David" w:cs="David"/>
          <w:b/>
          <w:sz w:val="24"/>
          <w:u w:val="single"/>
          <w:rtl w:val="1"/>
          <w:szCs w:val="24"/>
          <w:bCs w:val="1"/>
        </w:rPr>
        <w:t>הבקשה לדו"ח חסוי מפי הגורם המטפל</w:t>
      </w:r>
    </w:p>
    <w:p>
      <w:pPr>
        <w:bidi w:val="1"/>
        <w:spacing w:after="80" w:line="360" w:lineRule="auto"/>
        <w:ind w:right="510" w:hanging="510"/>
        <w:jc w:val="both"/>
      </w:pPr>
      <w:r>
        <w:rPr>
          <w:rFonts w:ascii="David" w:hAnsi="David" w:cs="David"/>
          <w:b w:val="0"/>
          <w:sz w:val="24"/>
          <w:u w:val="none"/>
          <w:rtl w:val="1"/>
          <w:szCs w:val="24"/>
        </w:rPr>
        <w:t>7.</w:t>
        <w:tab/>
      </w:r>
      <w:r>
        <w:rPr>
          <w:rFonts w:ascii="David" w:hAnsi="David" w:cs="David"/>
          <w:b w:val="0"/>
          <w:sz w:val="24"/>
          <w:u w:val="none"/>
          <w:rtl w:val="1"/>
          <w:szCs w:val="24"/>
        </w:rPr>
        <w:t>הגב' קיבנסון בר און לא מונתה כמומחית מטעם בית המשפט הנכבד ולא ניתן לה מנדט כלשהו. ההסכמה שגובשה ביחידת הסיוע הייתה לפנות אליה לשם טיפול, ולא לשם עריכת חוות דעת. הכינוי "המומחית", החוזר לאורך הבקשה, אינו משנה את מהות התפקיד שעליו הוסכם.</w:t>
      </w:r>
    </w:p>
    <w:p>
      <w:pPr>
        <w:bidi w:val="1"/>
        <w:spacing w:after="80" w:line="360" w:lineRule="auto"/>
        <w:ind w:right="510" w:hanging="510"/>
        <w:jc w:val="both"/>
      </w:pPr>
      <w:r>
        <w:rPr>
          <w:rFonts w:ascii="David" w:hAnsi="David" w:cs="David"/>
          <w:b w:val="0"/>
          <w:sz w:val="24"/>
          <w:u w:val="none"/>
          <w:rtl w:val="1"/>
          <w:szCs w:val="24"/>
        </w:rPr>
        <w:t>8.</w:t>
        <w:tab/>
      </w:r>
      <w:r>
        <w:rPr>
          <w:rFonts w:ascii="David" w:hAnsi="David" w:cs="David"/>
          <w:b w:val="0"/>
          <w:sz w:val="24"/>
          <w:u w:val="none"/>
          <w:rtl w:val="1"/>
          <w:szCs w:val="24"/>
        </w:rPr>
        <w:t>הבקשה להורות למטפלת להעביר דו"ח לבית המשפט מתנגשת בחיסיון המוקנה למטופל — ר' סעיף 50א לפקודת הראיות [נוסח חדש], התשל"א-1971, וחובת הסודיות המוטלת על עובד סוציאלי מכוח חוק העובדים הסוציאליים, התשנ"ו-1996. ויוער כי הגב' קיבנסון בר און מתוארת בבקשה עצמה כ"עובדת סוציאלית קלינית ופסיכותרפיסטית".</w:t>
      </w:r>
    </w:p>
    <w:p>
      <w:pPr>
        <w:bidi w:val="1"/>
        <w:spacing w:after="80" w:line="360" w:lineRule="auto"/>
        <w:ind w:right="510" w:hanging="510"/>
        <w:jc w:val="both"/>
      </w:pPr>
      <w:r>
        <w:rPr>
          <w:rFonts w:ascii="David" w:hAnsi="David" w:cs="David"/>
          <w:b w:val="0"/>
          <w:sz w:val="24"/>
          <w:u w:val="none"/>
          <w:rtl w:val="1"/>
          <w:szCs w:val="24"/>
        </w:rPr>
        <w:t>9.</w:t>
        <w:tab/>
      </w:r>
      <w:r>
        <w:rPr>
          <w:rFonts w:ascii="David" w:hAnsi="David" w:cs="David"/>
          <w:b w:val="0"/>
          <w:sz w:val="24"/>
          <w:u w:val="none"/>
          <w:rtl w:val="1"/>
          <w:szCs w:val="24"/>
        </w:rPr>
        <w:t>יתרה מכך, דו"ח שיוגש "לעיני בית המשפט בלבד" לא יועמד לעיון המשיבה, ולא יתאפשר לה להתייחס אליו או לחקור עליו. משמעות הדבר היא הכרעה בעניינם של הקטינים על יסוד חומר החסוי מפני אחד מהוריהם.</w:t>
      </w:r>
    </w:p>
    <w:p>
      <w:pPr>
        <w:bidi w:val="1"/>
        <w:spacing w:after="80" w:line="360" w:lineRule="auto"/>
        <w:ind w:right="510" w:hanging="510"/>
        <w:jc w:val="both"/>
      </w:pPr>
      <w:r>
        <w:rPr>
          <w:rFonts w:ascii="David" w:hAnsi="David" w:cs="David"/>
          <w:b w:val="0"/>
          <w:sz w:val="24"/>
          <w:u w:val="none"/>
          <w:rtl w:val="1"/>
          <w:szCs w:val="24"/>
        </w:rPr>
        <w:t>10.</w:t>
        <w:tab/>
      </w:r>
      <w:r>
        <w:rPr>
          <w:rFonts w:ascii="David" w:hAnsi="David" w:cs="David"/>
          <w:b w:val="0"/>
          <w:sz w:val="24"/>
          <w:u w:val="none"/>
          <w:rtl w:val="1"/>
          <w:szCs w:val="24"/>
        </w:rPr>
        <w:t>מעבר לכל אלה, ידיעתו של מטופל כי הנאמר בחדר הטיפולים יועבר לבית המשפט מאיינת את הטיפול. הבקשה חותרת, אפוא, תחת התכלית שאותה היא מבקשת לקדם.</w:t>
      </w:r>
    </w:p>
    <w:p>
      <w:pPr>
        <w:keepNext/>
        <w:bidi w:val="1"/>
        <w:spacing w:after="60" w:before="160" w:line="360" w:lineRule="auto"/>
        <w:jc w:val="right"/>
      </w:pPr>
      <w:r>
        <w:rPr>
          <w:rFonts w:ascii="David" w:hAnsi="David" w:cs="David"/>
          <w:b/>
          <w:sz w:val="24"/>
          <w:u w:val="single"/>
          <w:rtl w:val="1"/>
          <w:szCs w:val="24"/>
          <w:bCs w:val="1"/>
        </w:rPr>
        <w:t>זמני השהות</w:t>
      </w:r>
    </w:p>
    <w:p>
      <w:pPr>
        <w:bidi w:val="1"/>
        <w:spacing w:after="80" w:line="360" w:lineRule="auto"/>
        <w:ind w:right="510" w:hanging="510"/>
        <w:jc w:val="both"/>
      </w:pPr>
      <w:r>
        <w:rPr>
          <w:rFonts w:ascii="David" w:hAnsi="David" w:cs="David"/>
          <w:b w:val="0"/>
          <w:sz w:val="24"/>
          <w:u w:val="none"/>
          <w:rtl w:val="1"/>
          <w:szCs w:val="24"/>
        </w:rPr>
        <w:t>11.</w:t>
        <w:tab/>
      </w:r>
      <w:r>
        <w:rPr>
          <w:rFonts w:ascii="David" w:hAnsi="David" w:cs="David"/>
          <w:b w:val="0"/>
          <w:sz w:val="24"/>
          <w:u w:val="none"/>
          <w:rtl w:val="1"/>
          <w:szCs w:val="24"/>
        </w:rPr>
        <w:t>הטענה בסעיף 7 לבקשה, לפיה המשיבה אינה עומדת בזמני השהות, מוכחשת. המבקש הוא הקובע לקטינים, באופן חד-צדדי, תוכניות המקבילות לזמני השהות של המשיבה. בכך מועמדים הקטינים בקונפליקט נאמנות קשה ונדרשים לבחור בין הוריהם. משנקבעת לקטין תוכנית חלופית בשעה שבה אמור הוא לשהות עם אמו, אין לזקוף את התוצאה לחובת המשיבה.</w:t>
      </w:r>
    </w:p>
    <w:p>
      <w:pPr>
        <w:bidi w:val="1"/>
        <w:spacing w:after="80" w:line="360" w:lineRule="auto"/>
        <w:ind w:right="510" w:hanging="510"/>
        <w:jc w:val="both"/>
      </w:pPr>
      <w:r>
        <w:rPr>
          <w:rFonts w:ascii="David" w:hAnsi="David" w:cs="David"/>
          <w:b w:val="0"/>
          <w:sz w:val="24"/>
          <w:u w:val="none"/>
          <w:rtl w:val="1"/>
          <w:szCs w:val="24"/>
        </w:rPr>
        <w:t>12.</w:t>
        <w:tab/>
      </w:r>
      <w:r>
        <w:rPr>
          <w:rFonts w:ascii="David" w:hAnsi="David" w:cs="David"/>
          <w:b w:val="0"/>
          <w:sz w:val="24"/>
          <w:u w:val="none"/>
          <w:rtl w:val="1"/>
          <w:szCs w:val="24"/>
        </w:rPr>
        <w:t>הקטינים עצמם מביעים רצון במתכונת שוויונית וברורה של חלוקת השבתות. התרופה לכך אינה חיובה של המשיבה כמבוקש, כי אם קביעת מתכונת מוגדרת ומחייבת, ובצדה איסור מפורש על קביעת תוכניות מקבילות בזמני השהות של ההורה האחר.</w:t>
      </w:r>
    </w:p>
    <w:p>
      <w:pPr>
        <w:bidi w:val="1"/>
        <w:spacing w:after="80" w:line="360" w:lineRule="auto"/>
        <w:ind w:right="510" w:hanging="510"/>
        <w:jc w:val="both"/>
      </w:pPr>
      <w:r>
        <w:rPr>
          <w:rFonts w:ascii="David" w:hAnsi="David" w:cs="David"/>
          <w:b w:val="0"/>
          <w:sz w:val="24"/>
          <w:u w:val="none"/>
          <w:rtl w:val="1"/>
          <w:szCs w:val="24"/>
        </w:rPr>
        <w:t>13.</w:t>
        <w:tab/>
      </w:r>
      <w:r>
        <w:rPr>
          <w:rFonts w:ascii="David" w:hAnsi="David" w:cs="David"/>
          <w:b w:val="0"/>
          <w:sz w:val="24"/>
          <w:u w:val="none"/>
          <w:rtl w:val="1"/>
          <w:szCs w:val="24"/>
        </w:rPr>
        <w:t>מבלי לגרוע מן האמור, ככל שההסכמות מיום 1.6.2026 לא קיבלו תוקף של החלטה שיפוטית — אין בנמצא חיוב בר-אכיפה שהמשיבה הפרה אותו.</w:t>
      </w:r>
    </w:p>
    <w:p>
      <w:pPr>
        <w:keepNext/>
        <w:bidi w:val="1"/>
        <w:spacing w:after="60" w:before="160" w:line="360" w:lineRule="auto"/>
        <w:jc w:val="right"/>
      </w:pPr>
      <w:r>
        <w:rPr>
          <w:rFonts w:ascii="David" w:hAnsi="David" w:cs="David"/>
          <w:b/>
          <w:sz w:val="24"/>
          <w:u w:val="single"/>
          <w:rtl w:val="1"/>
          <w:szCs w:val="24"/>
          <w:bCs w:val="1"/>
        </w:rPr>
        <w:t>התנהלות המבקש ומשקלה</w:t>
      </w:r>
    </w:p>
    <w:p>
      <w:pPr>
        <w:bidi w:val="1"/>
        <w:spacing w:after="80" w:line="360" w:lineRule="auto"/>
        <w:ind w:right="510" w:hanging="510"/>
        <w:jc w:val="both"/>
      </w:pPr>
      <w:r>
        <w:rPr>
          <w:rFonts w:ascii="David" w:hAnsi="David" w:cs="David"/>
          <w:b w:val="0"/>
          <w:sz w:val="24"/>
          <w:u w:val="none"/>
          <w:rtl w:val="1"/>
          <w:szCs w:val="24"/>
        </w:rPr>
        <w:t>14.</w:t>
        <w:tab/>
      </w:r>
      <w:r>
        <w:rPr>
          <w:rFonts w:ascii="David" w:hAnsi="David" w:cs="David"/>
          <w:b w:val="0"/>
          <w:sz w:val="24"/>
          <w:u w:val="none"/>
          <w:rtl w:val="1"/>
          <w:szCs w:val="24"/>
        </w:rPr>
        <w:t>המבקש מעורב בסכסוך משפחתי הנוגע לאחותה של המשיבה, ומסייע לה בניתוקן של בנותיה הקטינות מאביהן הביולוגי, וזאת בניגוד להחלטות שיפוטיות מפורשות הקובעות כי אין מניעה לקיום מפגשים. המבקש משמש עבורן בפועל כדמות אב, ומשקיע בהן משאבים כספיים, זמן ותשומת לב רבה — ובמקביל טוען לקשיים ולעומס בגידול ילדיו שלו.</w:t>
      </w:r>
    </w:p>
    <w:p>
      <w:pPr>
        <w:bidi w:val="1"/>
        <w:spacing w:after="80" w:line="360" w:lineRule="auto"/>
        <w:ind w:right="510" w:hanging="510"/>
        <w:jc w:val="both"/>
      </w:pPr>
      <w:r>
        <w:rPr>
          <w:rFonts w:ascii="David" w:hAnsi="David" w:cs="David"/>
          <w:b w:val="0"/>
          <w:sz w:val="24"/>
          <w:u w:val="none"/>
          <w:rtl w:val="1"/>
          <w:szCs w:val="24"/>
        </w:rPr>
        <w:t>15.</w:t>
        <w:tab/>
      </w:r>
      <w:r>
        <w:rPr>
          <w:rFonts w:ascii="David" w:hAnsi="David" w:cs="David"/>
          <w:b w:val="0"/>
          <w:sz w:val="24"/>
          <w:u w:val="none"/>
          <w:rtl w:val="1"/>
          <w:szCs w:val="24"/>
        </w:rPr>
        <w:t>ודוק; המבקש עותר לכפיית טיפול שתכליתו המוצהרת בניית הקשר בין הקטינים לאמם, בעודו נוטל חלק בניתוקן של קטינות אחרות מאביהן. במקביל פועל המבקש זה תקופה ארוכה בהסתרת מידע מן המשיבה ובמעורבות בריחוק משפחתי, ומנהל נגדה הליכים חוזרים ונשנים המכפישים את תפקודה כאם. התנהלות זו רלוונטית למשקל שיינתן לטענותיו בדבר טובת הקטינים.</w:t>
      </w:r>
    </w:p>
    <w:p>
      <w:pPr>
        <w:keepNext/>
        <w:bidi w:val="1"/>
        <w:spacing w:after="60" w:before="160" w:line="360" w:lineRule="auto"/>
        <w:jc w:val="right"/>
      </w:pPr>
      <w:r>
        <w:rPr>
          <w:rFonts w:ascii="David" w:hAnsi="David" w:cs="David"/>
          <w:b/>
          <w:sz w:val="24"/>
          <w:u w:val="single"/>
          <w:rtl w:val="1"/>
          <w:szCs w:val="24"/>
          <w:bCs w:val="1"/>
        </w:rPr>
        <w:t>למעלה מן הצורך</w:t>
      </w:r>
    </w:p>
    <w:p>
      <w:pPr>
        <w:bidi w:val="1"/>
        <w:spacing w:after="80" w:line="360" w:lineRule="auto"/>
        <w:ind w:right="510" w:hanging="510"/>
        <w:jc w:val="both"/>
      </w:pPr>
      <w:r>
        <w:rPr>
          <w:rFonts w:ascii="David" w:hAnsi="David" w:cs="David"/>
          <w:b w:val="0"/>
          <w:sz w:val="24"/>
          <w:u w:val="none"/>
          <w:rtl w:val="1"/>
          <w:szCs w:val="24"/>
        </w:rPr>
        <w:t>16.</w:t>
        <w:tab/>
      </w:r>
      <w:r>
        <w:rPr>
          <w:rFonts w:ascii="David" w:hAnsi="David" w:cs="David"/>
          <w:b w:val="0"/>
          <w:sz w:val="24"/>
          <w:u w:val="none"/>
          <w:rtl w:val="1"/>
          <w:szCs w:val="24"/>
        </w:rPr>
        <w:t>ככל שלא צורף לבקשה תצהיר לאימות העובדות, כמצוות תקנה 50 לתקנות סדר הדין האזרחי, התשע"ט-2018, אין בפני בית המשפט הנכבד תשתית ראייתית לעובדות הנטענות בה. ויוער כי הבקשה נסמכת, בין היתר, על טבלה שנערכה בידי המבקש עצמו.</w:t>
      </w:r>
    </w:p>
    <w:p>
      <w:pPr>
        <w:bidi w:val="1"/>
        <w:spacing w:after="80" w:line="360" w:lineRule="auto"/>
        <w:ind w:right="510" w:hanging="510"/>
        <w:jc w:val="both"/>
      </w:pPr>
      <w:r>
        <w:rPr>
          <w:rFonts w:ascii="David" w:hAnsi="David" w:cs="David"/>
          <w:b w:val="0"/>
          <w:sz w:val="24"/>
          <w:u w:val="none"/>
          <w:rtl w:val="1"/>
          <w:szCs w:val="24"/>
        </w:rPr>
        <w:t>17.</w:t>
        <w:tab/>
      </w:r>
      <w:r>
        <w:rPr>
          <w:rFonts w:ascii="David" w:hAnsi="David" w:cs="David"/>
          <w:b w:val="0"/>
          <w:sz w:val="24"/>
          <w:u w:val="none"/>
          <w:rtl w:val="1"/>
          <w:szCs w:val="24"/>
        </w:rPr>
        <w:t>בית המשפט הנכבד כבר עמד על העיקר בהחלטתו מיום 13.8.2026, בקבעו כי "חזקה כי אם הצדדים פנו למטפלת הם ישתפו פעולה עם הנחיותיה והמלצותיה", ונמנע מליתן סעדים כופים. אין בבקשה דנא כדי להצדיק סטייה מכך.</w:t>
      </w:r>
    </w:p>
    <w:p>
      <w:pPr>
        <w:bidi w:val="1"/>
        <w:spacing w:after="80" w:line="360" w:lineRule="auto"/>
        <w:ind w:right="510" w:hanging="510"/>
        <w:jc w:val="both"/>
      </w:pPr>
      <w:r>
        <w:rPr>
          <w:rFonts w:ascii="David" w:hAnsi="David" w:cs="David"/>
          <w:b w:val="0"/>
          <w:sz w:val="24"/>
          <w:u w:val="none"/>
          <w:rtl w:val="1"/>
          <w:szCs w:val="24"/>
        </w:rPr>
        <w:t>18.</w:t>
        <w:tab/>
      </w:r>
      <w:r>
        <w:rPr>
          <w:rFonts w:ascii="David" w:hAnsi="David" w:cs="David"/>
          <w:b w:val="0"/>
          <w:sz w:val="24"/>
          <w:u w:val="none"/>
          <w:rtl w:val="1"/>
          <w:szCs w:val="24"/>
        </w:rPr>
        <w:t>אשר על כל המקובץ לעיל, מתבקש בית המשפט הנכבד לדחות את הבקשה על כל סעדיה, להורות כמבוקש ברישא לתגובה זו, ולחייב את המבקש בהוצאות בגין הגשת בקשה שאין בה ממש, בתוספת שכ"ט עו"ד ומע"מ כחוק.</w:t>
      </w:r>
    </w:p>
    <w:p>
      <w:pPr>
        <w:keepNext w:val="0"/>
        <w:bidi w:val="1"/>
        <w:spacing w:after="120" w:before="120" w:line="360" w:lineRule="auto"/>
        <w:jc w:val="right"/>
      </w:pPr>
      <w:r>
        <w:rPr>
          <w:rFonts w:ascii="David" w:hAnsi="David" w:cs="David"/>
          <w:b/>
          <w:sz w:val="24"/>
          <w:u w:val="none"/>
          <w:rtl w:val="1"/>
          <w:szCs w:val="24"/>
          <w:bCs w:val="1"/>
        </w:rPr>
        <w:t>תצהיר המשיבה לאימות העובדות המפורטות בתגובה זו — מצ"ב.</w:t>
      </w:r>
    </w:p>
    <w:p>
      <w:pPr>
        <w:keepNext w:val="0"/>
        <w:bidi w:val="1"/>
        <w:spacing w:after="40" w:before="120" w:line="240" w:lineRule="auto"/>
        <w:jc w:val="center"/>
      </w:pPr>
      <w:r>
        <w:rPr>
          <w:rFonts w:ascii="David" w:hAnsi="David" w:cs="David"/>
          <w:b w:val="0"/>
          <w:sz w:val="24"/>
          <w:u w:val="none"/>
          <w:rtl w:val="1"/>
          <w:szCs w:val="24"/>
        </w:rPr>
        <w:t>_________________________</w:t>
      </w:r>
    </w:p>
    <w:p>
      <w:pPr>
        <w:keepNext w:val="0"/>
        <w:bidi w:val="1"/>
        <w:spacing w:after="40" w:before="0" w:line="240" w:lineRule="auto"/>
        <w:jc w:val="center"/>
      </w:pPr>
      <w:r>
        <w:rPr>
          <w:rFonts w:ascii="David" w:hAnsi="David" w:cs="David"/>
          <w:b/>
          <w:sz w:val="24"/>
          <w:u w:val="none"/>
          <w:rtl w:val="1"/>
          <w:szCs w:val="24"/>
          <w:bCs w:val="1"/>
        </w:rPr>
        <w:t>עופר גזית, עו"ד</w:t>
      </w:r>
    </w:p>
    <w:p>
      <w:pPr>
        <w:keepNext w:val="0"/>
        <w:bidi w:val="1"/>
        <w:spacing w:after="40" w:before="0" w:line="240" w:lineRule="auto"/>
        <w:jc w:val="center"/>
      </w:pPr>
      <w:r>
        <w:rPr>
          <w:rFonts w:ascii="David" w:hAnsi="David" w:cs="David"/>
          <w:b w:val="0"/>
          <w:sz w:val="24"/>
          <w:u w:val="none"/>
          <w:rtl w:val="1"/>
          <w:szCs w:val="24"/>
        </w:rPr>
        <w:t>ב"כ המשיבה</w:t>
      </w:r>
    </w:p>
    <w:p>
      <w:r>
        <w:br w:type="page"/>
      </w:r>
    </w:p>
    <w:p>
      <w:pPr>
        <w:keepNext w:val="0"/>
        <w:bidi w:val="1"/>
        <w:spacing w:after="240" w:before="0" w:line="240" w:lineRule="auto"/>
        <w:jc w:val="center"/>
      </w:pPr>
      <w:r>
        <w:rPr>
          <w:rFonts w:ascii="David" w:hAnsi="David" w:cs="David"/>
          <w:b/>
          <w:sz w:val="30"/>
          <w:u w:val="single"/>
          <w:rtl w:val="1"/>
          <w:szCs w:val="30"/>
          <w:bCs w:val="1"/>
        </w:rPr>
        <w:t>תצהיר</w:t>
      </w:r>
    </w:p>
    <w:p>
      <w:pPr>
        <w:keepNext w:val="0"/>
        <w:bidi w:val="1"/>
        <w:spacing w:after="120" w:before="0" w:line="360" w:lineRule="auto"/>
        <w:jc w:val="both"/>
      </w:pPr>
      <w:r>
        <w:rPr>
          <w:rFonts w:ascii="David" w:hAnsi="David" w:cs="David"/>
          <w:b w:val="0"/>
          <w:sz w:val="24"/>
          <w:u w:val="none"/>
          <w:rtl w:val="1"/>
          <w:szCs w:val="24"/>
        </w:rPr>
        <w:t>אני הח"מ, _______________, ת.ז. _______________, לאחר שהוזהרתי כי עליי לומר את האמת וכי אהיה צפויה לעונשים הקבועים בחוק אם לא אעשה כן, מצהירה בזאת בכתב כדלקמן:</w:t>
      </w:r>
    </w:p>
    <w:p>
      <w:pPr>
        <w:bidi w:val="1"/>
        <w:spacing w:after="80" w:line="360" w:lineRule="auto"/>
        <w:ind w:right="510" w:hanging="510"/>
        <w:jc w:val="both"/>
      </w:pPr>
      <w:r>
        <w:rPr>
          <w:rFonts w:ascii="David" w:hAnsi="David" w:cs="David"/>
          <w:b w:val="0"/>
          <w:sz w:val="24"/>
          <w:u w:val="none"/>
          <w:rtl w:val="1"/>
          <w:szCs w:val="24"/>
        </w:rPr>
        <w:t>1.</w:t>
        <w:tab/>
      </w:r>
      <w:r>
        <w:rPr>
          <w:rFonts w:ascii="David" w:hAnsi="David" w:cs="David"/>
          <w:b w:val="0"/>
          <w:sz w:val="24"/>
          <w:u w:val="none"/>
          <w:rtl w:val="1"/>
          <w:szCs w:val="24"/>
        </w:rPr>
        <w:t>אני המשיבה בבקשה שבכותרת, ותצהירי זה ניתן בתמיכה לתגובה מטעמי לבקשת המבקש מיום 12.8.2026.</w:t>
      </w:r>
    </w:p>
    <w:p>
      <w:pPr>
        <w:bidi w:val="1"/>
        <w:spacing w:after="80" w:line="360" w:lineRule="auto"/>
        <w:ind w:right="510" w:hanging="510"/>
        <w:jc w:val="both"/>
      </w:pPr>
      <w:r>
        <w:rPr>
          <w:rFonts w:ascii="David" w:hAnsi="David" w:cs="David"/>
          <w:b w:val="0"/>
          <w:sz w:val="24"/>
          <w:u w:val="none"/>
          <w:rtl w:val="1"/>
          <w:szCs w:val="24"/>
        </w:rPr>
        <w:t>2.</w:t>
        <w:tab/>
      </w:r>
      <w:r>
        <w:rPr>
          <w:rFonts w:ascii="David" w:hAnsi="David" w:cs="David"/>
          <w:b w:val="0"/>
          <w:sz w:val="24"/>
          <w:u w:val="none"/>
          <w:rtl w:val="1"/>
          <w:szCs w:val="24"/>
        </w:rPr>
        <w:t>ביום 1.6.2026 התקיים מפגש ביחידת הסיוע בנוכחותי ובנוכחות המבקש ובאי כוחנו, ובמסגרתו גובשו הסכמות מסגרת בעניין זמני השהות ובעניין פנייה לגורם מטפל. הובהר לי, ואף הוסכם, כי הפנייה לגב' ענבל קיבנסון בר און נועדה לשם טיפול משפחתי, ולא לשם עריכת חוות דעת או דיווח כלשהו לבית המשפט.</w:t>
      </w:r>
    </w:p>
    <w:p>
      <w:pPr>
        <w:bidi w:val="1"/>
        <w:spacing w:after="80" w:line="360" w:lineRule="auto"/>
        <w:ind w:right="510" w:hanging="510"/>
        <w:jc w:val="both"/>
      </w:pPr>
      <w:r>
        <w:rPr>
          <w:rFonts w:ascii="David" w:hAnsi="David" w:cs="David"/>
          <w:b w:val="0"/>
          <w:sz w:val="24"/>
          <w:u w:val="none"/>
          <w:rtl w:val="1"/>
          <w:szCs w:val="24"/>
        </w:rPr>
        <w:t>3.</w:t>
        <w:tab/>
      </w:r>
      <w:r>
        <w:rPr>
          <w:rFonts w:ascii="David" w:hAnsi="David" w:cs="David"/>
          <w:b w:val="0"/>
          <w:sz w:val="24"/>
          <w:u w:val="none"/>
          <w:rtl w:val="1"/>
          <w:szCs w:val="24"/>
        </w:rPr>
        <w:t>במפגש שנערך אצל הגב' קיבנסון בר און בנוכחותי נפגעתי קשות מהתנהלותה. תחת יצירת מרחב טיפולי בטוח ומאזן, זכיתי ליחס מעליב ושיפוטי ולהטחת האשמות פוגעניות. בין היתר, משעשיתי שימוש במונח "התובע", הוטח בפניי כי אני "אלימה".</w:t>
      </w:r>
    </w:p>
    <w:p>
      <w:pPr>
        <w:bidi w:val="1"/>
        <w:spacing w:after="80" w:line="360" w:lineRule="auto"/>
        <w:ind w:right="510" w:hanging="510"/>
        <w:jc w:val="both"/>
      </w:pPr>
      <w:r>
        <w:rPr>
          <w:rFonts w:ascii="David" w:hAnsi="David" w:cs="David"/>
          <w:b w:val="0"/>
          <w:sz w:val="24"/>
          <w:u w:val="none"/>
          <w:rtl w:val="1"/>
          <w:szCs w:val="24"/>
        </w:rPr>
        <w:t>4.</w:t>
        <w:tab/>
      </w:r>
      <w:r>
        <w:rPr>
          <w:rFonts w:ascii="David" w:hAnsi="David" w:cs="David"/>
          <w:b w:val="0"/>
          <w:sz w:val="24"/>
          <w:u w:val="none"/>
          <w:rtl w:val="1"/>
          <w:szCs w:val="24"/>
        </w:rPr>
        <w:t>נודע לי כי טרם המפגש עמי כבר קיים המבקש מפגש אישי עם הגב' קיבנסון בר און, וכי זו אף פגשה את הקטינים שלא בנוכחותי.</w:t>
      </w:r>
    </w:p>
    <w:p>
      <w:pPr>
        <w:bidi w:val="1"/>
        <w:spacing w:after="80" w:line="360" w:lineRule="auto"/>
        <w:ind w:right="510" w:hanging="510"/>
        <w:jc w:val="both"/>
      </w:pPr>
      <w:r>
        <w:rPr>
          <w:rFonts w:ascii="David" w:hAnsi="David" w:cs="David"/>
          <w:b w:val="0"/>
          <w:sz w:val="24"/>
          <w:u w:val="none"/>
          <w:rtl w:val="1"/>
          <w:szCs w:val="24"/>
        </w:rPr>
        <w:t>5.</w:t>
        <w:tab/>
      </w:r>
      <w:r>
        <w:rPr>
          <w:rFonts w:ascii="David" w:hAnsi="David" w:cs="David"/>
          <w:b w:val="0"/>
          <w:sz w:val="24"/>
          <w:u w:val="none"/>
          <w:rtl w:val="1"/>
          <w:szCs w:val="24"/>
        </w:rPr>
        <w:t>המבקש קובע לקטינים, באופן חד-צדדי וללא תיאום עמי, תוכניות המקבילות לזמני השהות שלי עמם, ובכך מעמיד אותם בקונפליקט נאמנות ומסכל בפועל את קיומם של זמני השהות. הקטינים הביעו בפניי, לא אחת, רצון במתכונת שוויונית, ברורה וקבועה של חלוקת השבתות בין ההורים.</w:t>
      </w:r>
    </w:p>
    <w:p>
      <w:pPr>
        <w:bidi w:val="1"/>
        <w:spacing w:after="80" w:line="360" w:lineRule="auto"/>
        <w:ind w:right="510" w:hanging="510"/>
        <w:jc w:val="both"/>
      </w:pPr>
      <w:r>
        <w:rPr>
          <w:rFonts w:ascii="David" w:hAnsi="David" w:cs="David"/>
          <w:b w:val="0"/>
          <w:sz w:val="24"/>
          <w:u w:val="none"/>
          <w:rtl w:val="1"/>
          <w:szCs w:val="24"/>
        </w:rPr>
        <w:t>6.</w:t>
        <w:tab/>
      </w:r>
      <w:r>
        <w:rPr>
          <w:rFonts w:ascii="David" w:hAnsi="David" w:cs="David"/>
          <w:b w:val="0"/>
          <w:sz w:val="24"/>
          <w:u w:val="none"/>
          <w:rtl w:val="1"/>
          <w:szCs w:val="24"/>
        </w:rPr>
        <w:t>המבקש מעורב בסכסוך משפחתי הנוגע לאחותי, ומסייע לה בניתוקן של בנותיה הקטינות מאביהן הביולוגי, וזאת על אף החלטות שיפוטיות שלפיהן אין מניעה לקיום מפגשים. המבקש משמש עבורן בפועל כדמות אב, ומשקיע בהן משאבים כספיים, זמן ותשומת לב, ובמקביל טוען לעומס בגידול ילדינו המשותפים.</w:t>
      </w:r>
    </w:p>
    <w:p>
      <w:pPr>
        <w:bidi w:val="1"/>
        <w:spacing w:after="80" w:line="360" w:lineRule="auto"/>
        <w:ind w:right="510" w:hanging="510"/>
        <w:jc w:val="both"/>
      </w:pPr>
      <w:r>
        <w:rPr>
          <w:rFonts w:ascii="David" w:hAnsi="David" w:cs="David"/>
          <w:b w:val="0"/>
          <w:sz w:val="24"/>
          <w:u w:val="none"/>
          <w:rtl w:val="1"/>
          <w:szCs w:val="24"/>
        </w:rPr>
        <w:t>7.</w:t>
        <w:tab/>
      </w:r>
      <w:r>
        <w:rPr>
          <w:rFonts w:ascii="David" w:hAnsi="David" w:cs="David"/>
          <w:b w:val="0"/>
          <w:sz w:val="24"/>
          <w:u w:val="none"/>
          <w:rtl w:val="1"/>
          <w:szCs w:val="24"/>
        </w:rPr>
        <w:t>זה שמי, זו חתימתי, ותוכן תצהירי לעיל אמת.</w:t>
      </w:r>
    </w:p>
    <w:p>
      <w:pPr>
        <w:keepNext w:val="0"/>
        <w:bidi w:val="1"/>
        <w:spacing w:after="40" w:before="240" w:line="240" w:lineRule="auto"/>
        <w:jc w:val="center"/>
      </w:pPr>
      <w:r>
        <w:rPr>
          <w:rFonts w:ascii="David" w:hAnsi="David" w:cs="David"/>
          <w:b w:val="0"/>
          <w:sz w:val="24"/>
          <w:u w:val="none"/>
          <w:rtl w:val="1"/>
          <w:szCs w:val="24"/>
        </w:rPr>
        <w:t>_________________________</w:t>
      </w:r>
    </w:p>
    <w:p>
      <w:pPr>
        <w:keepNext w:val="0"/>
        <w:bidi w:val="1"/>
        <w:spacing w:after="200" w:before="0" w:line="240" w:lineRule="auto"/>
        <w:jc w:val="center"/>
      </w:pPr>
      <w:r>
        <w:rPr>
          <w:rFonts w:ascii="David" w:hAnsi="David" w:cs="David"/>
          <w:b w:val="0"/>
          <w:sz w:val="24"/>
          <w:u w:val="none"/>
          <w:rtl w:val="1"/>
          <w:szCs w:val="24"/>
        </w:rPr>
        <w:t>המצהירה</w:t>
      </w:r>
    </w:p>
    <w:p>
      <w:pPr>
        <w:keepNext w:val="0"/>
        <w:bidi w:val="1"/>
        <w:spacing w:after="80" w:before="120" w:line="360" w:lineRule="auto"/>
        <w:jc w:val="right"/>
      </w:pPr>
      <w:r>
        <w:rPr>
          <w:rFonts w:ascii="David" w:hAnsi="David" w:cs="David"/>
          <w:b/>
          <w:sz w:val="24"/>
          <w:u w:val="single"/>
          <w:rtl w:val="1"/>
          <w:szCs w:val="24"/>
          <w:bCs w:val="1"/>
        </w:rPr>
        <w:t>אישור</w:t>
      </w:r>
    </w:p>
    <w:p>
      <w:pPr>
        <w:keepNext w:val="0"/>
        <w:bidi w:val="1"/>
        <w:spacing w:after="200" w:before="0" w:line="360" w:lineRule="auto"/>
        <w:jc w:val="both"/>
      </w:pPr>
      <w:r>
        <w:rPr>
          <w:rFonts w:ascii="David" w:hAnsi="David" w:cs="David"/>
          <w:b w:val="0"/>
          <w:sz w:val="24"/>
          <w:u w:val="none"/>
          <w:rtl w:val="1"/>
          <w:szCs w:val="24"/>
        </w:rPr>
        <w:t>אני הח"מ, עופר גזית, עו"ד (מ.ר. _______), מאשר בזאת כי ביום ____________ הופיעה בפניי במשרדי ברח' _______________ הגב' _______________, אשר זיהתה עצמה באמצעות ת.ז. מס' _______________, ולאחר שהזהרתיה כי עליה להצהיר את האמת וכי תהא צפויה לעונשים הקבועים בחוק אם לא תעשה כן, אישרה את נכונות תצהירה דלעיל וחתמה עליו בפניי.</w:t>
      </w:r>
    </w:p>
    <w:p>
      <w:pPr>
        <w:keepNext w:val="0"/>
        <w:bidi w:val="1"/>
        <w:spacing w:after="40" w:before="160" w:line="240" w:lineRule="auto"/>
        <w:jc w:val="center"/>
      </w:pPr>
      <w:r>
        <w:rPr>
          <w:rFonts w:ascii="David" w:hAnsi="David" w:cs="David"/>
          <w:b w:val="0"/>
          <w:sz w:val="24"/>
          <w:u w:val="none"/>
          <w:rtl w:val="1"/>
          <w:szCs w:val="24"/>
        </w:rPr>
        <w:t>_________________________</w:t>
      </w:r>
    </w:p>
    <w:p>
      <w:pPr>
        <w:keepNext w:val="0"/>
        <w:bidi w:val="1"/>
        <w:spacing w:after="40" w:before="0" w:line="240" w:lineRule="auto"/>
        <w:jc w:val="center"/>
      </w:pPr>
      <w:r>
        <w:rPr>
          <w:rFonts w:ascii="David" w:hAnsi="David" w:cs="David"/>
          <w:b/>
          <w:sz w:val="24"/>
          <w:u w:val="none"/>
          <w:rtl w:val="1"/>
          <w:szCs w:val="24"/>
          <w:bCs w:val="1"/>
        </w:rPr>
        <w:t>עופר גזית, עו"ד</w:t>
      </w:r>
    </w:p>
    <w:sectPr w:rsidR="00FC693F" w:rsidRPr="0006063C" w:rsidSect="00034616">
      <w:footerReference w:type="default" r:id="rId9"/>
      <w:pgSz w:w="11906" w:h="16838"/>
      <w:pgMar w:top="850" w:right="1417" w:bottom="646" w:left="1417" w:header="567" w:footer="34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b w:val="0"/>
        <w:sz w:val="20"/>
        <w:u w:val="none"/>
        <w:rtl w:val="1"/>
        <w:szCs w:val="20"/>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