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300" w:line="360" w:lineRule="auto"/>
        <w:jc w:val="center"/>
      </w:pPr>
      <w:r>
        <w:rPr>
          <w:rFonts w:ascii="David" w:cs="David" w:eastAsia="David" w:hAnsi="David"/>
          <w:b/>
          <w:bCs/>
          <w:sz w:val="28"/>
          <w:szCs w:val="28"/>
          <w:u w:val="single"/>
          <w:rtl/>
        </w:rPr>
        <w:t xml:space="preserve">הנחיות מילוי - בקשה לאפוטרופסות יחידה וקבועה</w:t>
      </w:r>
    </w:p>
    <w:p>
      <w:pPr>
        <w:bidi/>
        <w:spacing w:after="240" w:before="0" w:line="360" w:lineRule="auto"/>
        <w:jc w:val="center"/>
      </w:pPr>
      <w:r>
        <w:rPr>
          <w:rFonts w:ascii="David" w:cs="David" w:eastAsia="David" w:hAnsi="David"/>
          <w:sz w:val="24"/>
          <w:szCs w:val="24"/>
          <w:rtl/>
        </w:rPr>
        <w:t xml:space="preserve">מסמך זה נועד לסייע במילוי החבילה. הוא אינו מוגש לבית המשפט - יש למחוק אותו לפני ההגשה.</w:t>
      </w:r>
    </w:p>
    <w:p>
      <w:pPr>
        <w:keepNext/>
        <w:bidi/>
        <w:spacing w:after="120" w:before="240" w:line="360" w:lineRule="auto"/>
        <w:jc w:val="start"/>
      </w:pPr>
      <w:r>
        <w:rPr>
          <w:rFonts w:ascii="David" w:cs="David" w:eastAsia="David" w:hAnsi="David"/>
          <w:b/>
          <w:bCs/>
          <w:sz w:val="24"/>
          <w:szCs w:val="24"/>
          <w:u w:val="single"/>
          <w:rtl/>
        </w:rPr>
        <w:t xml:space="preserve">טבלת משתנים - למלא פעם אחת ולהעתיק לכל המקומות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3236"/>
        <w:gridCol w:w="3236"/>
      </w:tblGrid>
      <w:tr>
        <w:tc>
          <w:tcPr>
            <w:tcW w:type="dxa" w:w="2600"/>
            <w:tcBorders>
              <w:top w:val="single" w:color="808080" w:sz="4"/>
              <w:left w:val="single" w:color="808080" w:sz="4"/>
              <w:bottom w:val="single" w:color="808080" w:sz="4"/>
              <w:right w:val="single" w:color="808080" w:sz="4"/>
            </w:tcBorders>
            <w:shd w:fill="D9D9D9" w:val="clear"/>
            <w:tcMar>
              <w:top w:type="dxa" w:w="60"/>
              <w:left w:type="dxa" w:w="100"/>
              <w:bottom w:type="dxa" w:w="60"/>
              <w:right w:type="dxa" w:w="100"/>
            </w:tcMar>
          </w:tcPr>
          <w:p>
            <w:pPr>
              <w:bidi/>
              <w:spacing w:after="0" w:line="300" w:lineRule="auto"/>
              <w:jc w:val="center"/>
            </w:pPr>
            <w:r>
              <w:rPr>
                <w:rFonts w:ascii="David" w:cs="David" w:eastAsia="David" w:hAnsi="David"/>
                <w:b/>
                <w:bCs/>
                <w:sz w:val="24"/>
                <w:szCs w:val="24"/>
                <w:rtl/>
              </w:rPr>
              <w:t xml:space="preserve">הפרט</w:t>
            </w:r>
          </w:p>
        </w:tc>
        <w:tc>
          <w:tcPr>
            <w:tcW w:type="dxa" w:w="3236"/>
            <w:tcBorders>
              <w:top w:val="single" w:color="808080" w:sz="4"/>
              <w:left w:val="single" w:color="808080" w:sz="4"/>
              <w:bottom w:val="single" w:color="808080" w:sz="4"/>
              <w:right w:val="single" w:color="808080" w:sz="4"/>
            </w:tcBorders>
            <w:shd w:fill="D9D9D9" w:val="clear"/>
            <w:tcMar>
              <w:top w:type="dxa" w:w="60"/>
              <w:left w:type="dxa" w:w="100"/>
              <w:bottom w:type="dxa" w:w="60"/>
              <w:right w:type="dxa" w:w="100"/>
            </w:tcMar>
          </w:tcPr>
          <w:p>
            <w:pPr>
              <w:bidi/>
              <w:spacing w:after="0" w:line="300" w:lineRule="auto"/>
              <w:jc w:val="center"/>
            </w:pPr>
            <w:r>
              <w:rPr>
                <w:rFonts w:ascii="David" w:cs="David" w:eastAsia="David" w:hAnsi="David"/>
                <w:b/>
                <w:bCs/>
                <w:sz w:val="24"/>
                <w:szCs w:val="24"/>
                <w:rtl/>
              </w:rPr>
              <w:t xml:space="preserve">היכן מופיע</w:t>
            </w:r>
          </w:p>
        </w:tc>
        <w:tc>
          <w:tcPr>
            <w:tcW w:type="dxa" w:w="3236"/>
            <w:tcBorders>
              <w:top w:val="single" w:color="808080" w:sz="4"/>
              <w:left w:val="single" w:color="808080" w:sz="4"/>
              <w:bottom w:val="single" w:color="808080" w:sz="4"/>
              <w:right w:val="single" w:color="808080" w:sz="4"/>
            </w:tcBorders>
            <w:shd w:fill="D9D9D9" w:val="clear"/>
            <w:tcMar>
              <w:top w:type="dxa" w:w="60"/>
              <w:left w:type="dxa" w:w="100"/>
              <w:bottom w:type="dxa" w:w="60"/>
              <w:right w:type="dxa" w:w="100"/>
            </w:tcMar>
          </w:tcPr>
          <w:p>
            <w:pPr>
              <w:bidi/>
              <w:spacing w:after="0" w:line="300" w:lineRule="auto"/>
              <w:jc w:val="center"/>
            </w:pPr>
            <w:r>
              <w:rPr>
                <w:rFonts w:ascii="David" w:cs="David" w:eastAsia="David" w:hAnsi="David"/>
                <w:b/>
                <w:bCs/>
                <w:sz w:val="24"/>
                <w:szCs w:val="24"/>
                <w:rtl/>
              </w:rPr>
              <w:t xml:space="preserve">הערה</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שם המבקשת ות.ז.</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מולא: שרה חד, ת.ז. 454455511</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ספרת הביקורת של מספר ת.ז. זה אינה תקינה - לבדוק מול תעודת הזהות</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שם המשיב ות.ז.</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הבקשה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זהה בכל המסמכים</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שמות הקטינים, ת.ז. ותאריכי לידה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כותרת הבקשה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לפי ספח ת.ז.</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עיר בית המשפט ומספר תיק</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הבקשה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לפי מקום מגורי הקטינים</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תאריך נישואין ותאריך פרידה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פרק ב' בבקשה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פרטי הליך הגירושין</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פרק ב' בבקשה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ערכאה ומספר תיק</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מקום מגורי המשיב והמרחק</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פרק ב' בבקשה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בק"מ</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מקרי סירוב לחתום</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פרק ג' בבקשה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תאריך, מסמך, תגובה, תוצאה</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מזונות: החלטה, חוב, תיק הוצל"פ</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פרק ג' בבקשה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פרטי ב"כ (מ.ר., כתובת, טל', דוא"ל)</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כותרת הבקשה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p>
        </w:tc>
      </w:tr>
    </w:tbl>
    <w:p>
      <w:pPr>
        <w:keepNext/>
        <w:bidi/>
        <w:spacing w:after="120" w:before="240" w:line="360" w:lineRule="auto"/>
        <w:jc w:val="start"/>
      </w:pPr>
      <w:r>
        <w:rPr>
          <w:rFonts w:ascii="David" w:cs="David" w:eastAsia="David" w:hAnsi="David"/>
          <w:b/>
          <w:bCs/>
          <w:sz w:val="24"/>
          <w:szCs w:val="24"/>
          <w:u w:val="single"/>
          <w:rtl/>
        </w:rPr>
        <w:t xml:space="preserve">הערות מקצועיות לפני ההגשה</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סמכות - לבדוק ראשון. </w:t>
      </w:r>
      <w:r>
        <w:rPr>
          <w:rFonts w:ascii="David" w:cs="David" w:eastAsia="David" w:hAnsi="David"/>
          <w:sz w:val="24"/>
          <w:szCs w:val="24"/>
          <w:rtl/>
        </w:rPr>
        <w:t xml:space="preserve">אם תביעת הגירושין הוגשה לבית הדין הרבני ונכרכו בה ענייני הילדים (משמורת, חינוך), ייתכן שהסמכות בעניין זה נתונה לבית הדין. יש לבדוק את כתב התביעה בבית הדין לפני ההגשה, ולהתאים את סעיף הסמכות בבקשה.</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יישוב סכסוך. </w:t>
      </w:r>
      <w:r>
        <w:rPr>
          <w:rFonts w:ascii="David" w:cs="David" w:eastAsia="David" w:hAnsi="David"/>
          <w:sz w:val="24"/>
          <w:szCs w:val="24"/>
          <w:rtl/>
        </w:rPr>
        <w:t xml:space="preserve">אם אין עדיין הליך תלוי בין הצדדים בבית המשפט לענייני משפחה, יש להגיש תחילה בקשה ליישוב סכסוך לפי החוק להסדר התדיינויות בסכסוכי משפחה, התשע"ה-2014. במקרה כזה יש להוסיף לסעיף הסמכות את מועד הגשת הבקשה ליישוב סכסוך ואת סיום תקופת העיכוב.</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הדוגמאות הקונקרטיות הן לב הבקשה. </w:t>
      </w:r>
      <w:r>
        <w:rPr>
          <w:rFonts w:ascii="David" w:cs="David" w:eastAsia="David" w:hAnsi="David"/>
          <w:sz w:val="24"/>
          <w:szCs w:val="24"/>
          <w:rtl/>
        </w:rPr>
        <w:t xml:space="preserve">בתי המשפט נותנים סמכות בלעדית על יסוד אירועים מתועדים: תאריך, הפנייה, תגובת האב והנזק לילד. בלי מקרה כזה אחד לפחות, סביר שהסעד העיקרי יידחה, או שהתיק יופנה לתסקיר ויתארך. יש לצרף צילומי מסך והודעות כנספח ג'.</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התצהיר המקוצר. </w:t>
      </w:r>
      <w:r>
        <w:rPr>
          <w:rFonts w:ascii="David" w:cs="David" w:eastAsia="David" w:hAnsi="David"/>
          <w:sz w:val="24"/>
          <w:szCs w:val="24"/>
          <w:rtl/>
        </w:rPr>
        <w:t xml:space="preserve">התצהיר מאמת את "כל האמור בבקשה". לכן יש למלא את הבקשה עד הסוף לפני שהמבקשת חותמת על התצהיר.</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דיוק לגבי הקשר עם האב. </w:t>
      </w:r>
      <w:r>
        <w:rPr>
          <w:rFonts w:ascii="David" w:cs="David" w:eastAsia="David" w:hAnsi="David"/>
          <w:sz w:val="24"/>
          <w:szCs w:val="24"/>
          <w:rtl/>
        </w:rPr>
        <w:t xml:space="preserve">אם קיים קשר כלשהו בין האב לילדים, אין לכתוב שאינו קיים. הגזמה תפגע באמינות המבקשת בכל ההליך, כולל בהליך הגירושין.</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מזונות. </w:t>
      </w:r>
      <w:r>
        <w:rPr>
          <w:rFonts w:ascii="David" w:cs="David" w:eastAsia="David" w:hAnsi="David"/>
          <w:sz w:val="24"/>
          <w:szCs w:val="24"/>
          <w:rtl/>
        </w:rPr>
        <w:t xml:space="preserve">אי-תשלום מזונות אינו עילה משפטית לאפוטרופסות בלעדית. הוא מוזכר בבקשה רק כחלק מהתמונה, ואין להרחיב בו.</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ההסדר המוצע לעדכון האב. </w:t>
      </w:r>
      <w:r>
        <w:rPr>
          <w:rFonts w:ascii="David" w:cs="David" w:eastAsia="David" w:hAnsi="David"/>
          <w:sz w:val="24"/>
          <w:szCs w:val="24"/>
          <w:rtl/>
        </w:rPr>
        <w:t xml:space="preserve">זהו מרכיב חשוב: הוא מציג את המבקשת כהורה הוגן ומקל על בית המשפט ליתן את הסעד. מומלץ שלא להסירו.</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מספר הקטינים. </w:t>
      </w:r>
      <w:r>
        <w:rPr>
          <w:rFonts w:ascii="David" w:cs="David" w:eastAsia="David" w:hAnsi="David"/>
          <w:sz w:val="24"/>
          <w:szCs w:val="24"/>
          <w:rtl/>
        </w:rPr>
        <w:t xml:space="preserve">בכותרת הבקשה יש שלוש שורות לקטינים. יש להוסיף או למחוק שורות לפי הצורך.</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תסקיר. </w:t>
      </w:r>
      <w:r>
        <w:rPr>
          <w:rFonts w:ascii="David" w:cs="David" w:eastAsia="David" w:hAnsi="David"/>
          <w:sz w:val="24"/>
          <w:szCs w:val="24"/>
          <w:rtl/>
        </w:rPr>
        <w:t xml:space="preserve">בית המשפט עשוי להפנות את העניין לעו"ס לסדרי דין. יש להכין את המבקשת לכך.</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טקסט מסומן בצהוב. </w:t>
      </w:r>
      <w:r>
        <w:rPr>
          <w:rFonts w:ascii="David" w:cs="David" w:eastAsia="David" w:hAnsi="David"/>
          <w:sz w:val="24"/>
          <w:szCs w:val="24"/>
          <w:rtl/>
        </w:rPr>
        <w:t xml:space="preserve">כל טקסט בסוגריים מרובעים המסומן בצהוב הוא הנחיה: יש להחליפו בפרטים או למחוק אותו, ולהסיר את הסימון. לבסוף יש לחפש "[" ו-"___" ולוודא שלא נשאר דבר.</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אורך. </w:t>
      </w:r>
      <w:r>
        <w:rPr>
          <w:rFonts w:ascii="David" w:cs="David" w:eastAsia="David" w:hAnsi="David"/>
          <w:sz w:val="24"/>
          <w:szCs w:val="24"/>
          <w:rtl/>
        </w:rPr>
        <w:t xml:space="preserve">הבקשה בנויה לשני עמודים. מילוי הפרטים עשוי להוסיף כמה שורות; אם היא גולשת לעמוד שלישי, אפשר לקצר את סעיף הסעד הזמני או למחוק אותו.</w:t>
      </w:r>
    </w:p>
    <w:p>
      <w:pPr>
        <w:keepNext/>
        <w:bidi/>
        <w:spacing w:after="120" w:before="240" w:line="360" w:lineRule="auto"/>
        <w:jc w:val="start"/>
      </w:pPr>
      <w:r>
        <w:rPr>
          <w:rFonts w:ascii="David" w:cs="David" w:eastAsia="David" w:hAnsi="David"/>
          <w:b/>
          <w:bCs/>
          <w:sz w:val="24"/>
          <w:szCs w:val="24"/>
          <w:u w:val="single"/>
          <w:rtl/>
        </w:rPr>
        <w:t xml:space="preserve">נספחים לצירוף</w:t>
      </w:r>
    </w:p>
    <w:p>
      <w:pPr>
        <w:pStyle w:val="ListParagraph"/>
        <w:numPr>
          <w:ilvl w:val="0"/>
          <w:numId w:val="3"/>
        </w:numPr>
        <w:bidi/>
        <w:spacing w:after="120" w:before="0" w:line="360" w:lineRule="auto"/>
        <w:jc w:val="both"/>
      </w:pPr>
      <w:r>
        <w:rPr>
          <w:rFonts w:ascii="David" w:cs="David" w:eastAsia="David" w:hAnsi="David"/>
          <w:sz w:val="24"/>
          <w:szCs w:val="24"/>
          <w:rtl/>
        </w:rPr>
        <w:t xml:space="preserve">נספח א' - תצהיר המבקשת, חתום ומאומת.</w:t>
      </w:r>
    </w:p>
    <w:p>
      <w:pPr>
        <w:pStyle w:val="ListParagraph"/>
        <w:numPr>
          <w:ilvl w:val="0"/>
          <w:numId w:val="3"/>
        </w:numPr>
        <w:bidi/>
        <w:spacing w:after="120" w:before="0" w:line="360" w:lineRule="auto"/>
        <w:jc w:val="both"/>
      </w:pPr>
      <w:r>
        <w:rPr>
          <w:rFonts w:ascii="David" w:cs="David" w:eastAsia="David" w:hAnsi="David"/>
          <w:sz w:val="24"/>
          <w:szCs w:val="24"/>
          <w:rtl/>
        </w:rPr>
        <w:t xml:space="preserve">נספח ב' - צילום ספח ת.ז. של המבקשת, שבו רשומים הקטינים.</w:t>
      </w:r>
    </w:p>
    <w:p>
      <w:pPr>
        <w:pStyle w:val="ListParagraph"/>
        <w:numPr>
          <w:ilvl w:val="0"/>
          <w:numId w:val="3"/>
        </w:numPr>
        <w:bidi/>
        <w:spacing w:after="120" w:before="0" w:line="360" w:lineRule="auto"/>
        <w:jc w:val="both"/>
      </w:pPr>
      <w:r>
        <w:rPr>
          <w:rFonts w:ascii="David" w:cs="David" w:eastAsia="David" w:hAnsi="David"/>
          <w:sz w:val="24"/>
          <w:szCs w:val="24"/>
          <w:rtl/>
        </w:rPr>
        <w:t xml:space="preserve">נספח ג' - התכתבויות עם המשיב בדבר הפניות לחתימה.</w:t>
      </w:r>
    </w:p>
    <w:p>
      <w:pPr>
        <w:pStyle w:val="ListParagraph"/>
        <w:numPr>
          <w:ilvl w:val="0"/>
          <w:numId w:val="3"/>
        </w:numPr>
        <w:bidi/>
        <w:spacing w:after="120" w:before="0" w:line="360" w:lineRule="auto"/>
        <w:jc w:val="both"/>
      </w:pPr>
      <w:r>
        <w:rPr>
          <w:rFonts w:ascii="David" w:cs="David" w:eastAsia="David" w:hAnsi="David"/>
          <w:sz w:val="24"/>
          <w:szCs w:val="24"/>
          <w:rtl/>
        </w:rPr>
        <w:t xml:space="preserve">נספח ד' - מסמכים ממוסדות החינוך והגורמים הרפואיים (אם יש).</w:t>
      </w:r>
    </w:p>
    <w:p>
      <w:pPr>
        <w:pStyle w:val="ListParagraph"/>
        <w:numPr>
          <w:ilvl w:val="0"/>
          <w:numId w:val="3"/>
        </w:numPr>
        <w:bidi/>
        <w:spacing w:after="120" w:before="0" w:line="360" w:lineRule="auto"/>
        <w:jc w:val="both"/>
      </w:pPr>
      <w:r>
        <w:rPr>
          <w:rFonts w:ascii="David" w:cs="David" w:eastAsia="David" w:hAnsi="David"/>
          <w:sz w:val="24"/>
          <w:szCs w:val="24"/>
          <w:rtl/>
        </w:rPr>
        <w:t xml:space="preserve">נספח ה' - החלטה בעניין מזונות / אישור חוב מההוצאה לפועל (אם יש).</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3" w15:restartNumberingAfterBreak="0">
    <w:multiLevelType w:val="hybridMultilevel"/>
    <w:lvl w:ilvl="0" w15:tentative="1">
      <w:start w:val="1"/>
      <w:numFmt w:val="hebrew1"/>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4" w15:restartNumberingAfterBreak="0">
    <w:multiLevelType w:val="hybridMultilevel"/>
    <w:lvl w:ilvl="0" w15:tentative="1">
      <w:start w:val="1"/>
      <w:numFmt w:val="bullet"/>
      <w:suff w:val="tab"/>
      <w:lvlText w:val="•"/>
      <w:lvlJc w:val="start"/>
      <w:pPr>
        <w:ind w:left="567" w:hanging="567"/>
      </w:pPr>
      <w:rPr>
        <w:rFonts w:ascii="David" w:cs="David" w:eastAsia="David" w:hAnsi="David"/>
        <w:sz w:val="24"/>
        <w:szCs w:val="24"/>
        <w:rtl/>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הנחיות מילוי</dc:title>
  <dc:creator>סולומון טקה, עו"ד</dc:creator>
  <cp:lastModifiedBy>Un-named</cp:lastModifiedBy>
  <cp:revision>1</cp:revision>
  <dcterms:created xsi:type="dcterms:W3CDTF">2026-10-25T14:57:36.954Z</dcterms:created>
  <dcterms:modified xsi:type="dcterms:W3CDTF">2026-10-25T14:57:36.954Z</dcterms:modified>
</cp:coreProperties>
</file>

<file path=docProps/custom.xml><?xml version="1.0" encoding="utf-8"?>
<Properties xmlns="http://schemas.openxmlformats.org/officeDocument/2006/custom-properties" xmlns:vt="http://schemas.openxmlformats.org/officeDocument/2006/docPropsVTypes"/>
</file>