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772"/>
        <w:gridCol w:w="3300"/>
      </w:tblGrid>
      <w:tr>
        <w:tc>
          <w:tcPr>
            <w:tcW w:type="dxa" w:w="57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6"/>
                <w:szCs w:val="26"/>
                <w:rtl/>
              </w:rPr>
              <w:t xml:space="preserve">בבית המשפט לענייני משפחה ב__________</w:t>
            </w:r>
          </w:p>
        </w:tc>
        <w:tc>
          <w:tcPr>
            <w:tcW w:type="dxa" w:w="33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end"/>
            </w:pPr>
            <w:r>
              <w:rPr>
                <w:rFonts w:ascii="David" w:cs="David" w:eastAsia="David" w:hAnsi="David"/>
                <w:b/>
                <w:bCs/>
                <w:sz w:val="26"/>
                <w:szCs w:val="26"/>
                <w:rtl/>
              </w:rPr>
              <w:t xml:space="preserve">תמ"ש ______________</w:t>
            </w:r>
          </w:p>
        </w:tc>
      </w:tr>
    </w:tbl>
    <w:p>
      <w:pPr>
        <w:bidi/>
        <w:spacing w:after="60" w:before="200" w:line="360" w:lineRule="auto"/>
        <w:jc w:val="start"/>
      </w:pPr>
      <w:r>
        <w:rPr>
          <w:rFonts w:ascii="David" w:cs="David" w:eastAsia="David" w:hAnsi="David"/>
          <w:b/>
          <w:bCs/>
          <w:sz w:val="24"/>
          <w:szCs w:val="24"/>
          <w:u w:val="single"/>
          <w:rtl/>
        </w:rPr>
        <w:t xml:space="preserve">בעניין הקטינים:</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500"/>
        <w:gridCol w:w="2500"/>
      </w:tblGrid>
      <w:tr>
        <w:tc>
          <w:tcPr>
            <w:tcW w:type="dxa" w:w="40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1. ______________ (שם הקטין/ה)</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ת.ז. ______________</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יליד/ת ____________</w:t>
            </w:r>
          </w:p>
        </w:tc>
      </w:tr>
      <w:tr>
        <w:tc>
          <w:tcPr>
            <w:tcW w:type="dxa" w:w="40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2. ______________ (שם הקטין/ה)</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ת.ז. ______________</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יליד/ת ____________</w:t>
            </w:r>
          </w:p>
        </w:tc>
      </w:tr>
      <w:tr>
        <w:tc>
          <w:tcPr>
            <w:tcW w:type="dxa" w:w="40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3. ______________ (שם הקטין/ה)</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ת.ז. ______________</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יליד/ת ____________</w:t>
            </w:r>
          </w:p>
        </w:tc>
      </w:tr>
    </w:tbl>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המבקשת:</w:t>
            </w:r>
          </w:p>
        </w:tc>
        <w:tc>
          <w:tcPr>
            <w:tcW w:type="dxa" w:w="73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שרה חד</w:t>
            </w:r>
            <w:r>
              <w:rPr>
                <w:rFonts w:ascii="David" w:cs="David" w:eastAsia="David" w:hAnsi="David"/>
                <w:sz w:val="24"/>
                <w:szCs w:val="24"/>
                <w:rtl/>
              </w:rPr>
              <w:t xml:space="preserve">, ת.ז. 454455511</w:t>
            </w:r>
          </w:p>
          <w:p>
            <w:pPr>
              <w:bidi/>
              <w:spacing w:after="0" w:line="300" w:lineRule="auto"/>
              <w:jc w:val="start"/>
            </w:pPr>
            <w:r>
              <w:rPr>
                <w:rFonts w:ascii="David" w:cs="David" w:eastAsia="David" w:hAnsi="David"/>
                <w:sz w:val="24"/>
                <w:szCs w:val="24"/>
                <w:rtl/>
              </w:rPr>
              <w:t xml:space="preserve">מרחוב ______________, ______________ (עיר)</w:t>
            </w:r>
          </w:p>
          <w:p>
            <w:pPr>
              <w:bidi/>
              <w:spacing w:after="0" w:line="300" w:lineRule="auto"/>
              <w:jc w:val="start"/>
            </w:pPr>
            <w:r>
              <w:rPr>
                <w:rFonts w:ascii="David" w:cs="David" w:eastAsia="David" w:hAnsi="David"/>
                <w:sz w:val="24"/>
                <w:szCs w:val="24"/>
                <w:rtl/>
              </w:rPr>
              <w:t xml:space="preserve">ע"י ב"כ עו"ד סולומון טקה, מ.ר. ________, מרחוב ______________; טל' ________</w:t>
            </w:r>
          </w:p>
        </w:tc>
      </w:tr>
    </w:tbl>
    <w:p>
      <w:pPr>
        <w:bidi/>
        <w:spacing w:after="60" w:before="60" w:line="360" w:lineRule="auto"/>
        <w:jc w:val="center"/>
      </w:pPr>
      <w:r>
        <w:rPr>
          <w:rFonts w:ascii="David" w:cs="David" w:eastAsia="David" w:hAnsi="David"/>
          <w:b/>
          <w:bCs/>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המשיב:</w:t>
            </w:r>
          </w:p>
        </w:tc>
        <w:tc>
          <w:tcPr>
            <w:tcW w:type="dxa" w:w="7372"/>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b/>
                <w:bCs/>
                <w:sz w:val="24"/>
                <w:szCs w:val="24"/>
                <w:rtl/>
              </w:rPr>
              <w:t xml:space="preserve">______________ (שם מלא)</w:t>
            </w:r>
            <w:r>
              <w:rPr>
                <w:rFonts w:ascii="David" w:cs="David" w:eastAsia="David" w:hAnsi="David"/>
                <w:sz w:val="24"/>
                <w:szCs w:val="24"/>
                <w:rtl/>
              </w:rPr>
              <w:t xml:space="preserve">, ת.ז. ______________</w:t>
            </w:r>
          </w:p>
          <w:p>
            <w:pPr>
              <w:bidi/>
              <w:spacing w:after="0" w:line="300" w:lineRule="auto"/>
              <w:jc w:val="start"/>
            </w:pPr>
            <w:r>
              <w:rPr>
                <w:rFonts w:ascii="David" w:cs="David" w:eastAsia="David" w:hAnsi="David"/>
                <w:sz w:val="24"/>
                <w:szCs w:val="24"/>
                <w:rtl/>
              </w:rPr>
              <w:t xml:space="preserve">מרחוב ______________, ______________ (עיר)</w:t>
            </w:r>
          </w:p>
        </w:tc>
      </w:tr>
    </w:tbl>
    <w:p>
      <w:pPr>
        <w:bidi/>
        <w:spacing w:after="60" w:before="300" w:line="360" w:lineRule="auto"/>
        <w:jc w:val="center"/>
      </w:pPr>
      <w:r>
        <w:rPr>
          <w:rFonts w:ascii="David" w:cs="David" w:eastAsia="David" w:hAnsi="David"/>
          <w:b/>
          <w:bCs/>
          <w:sz w:val="28"/>
          <w:szCs w:val="28"/>
          <w:u w:val="single"/>
          <w:rtl/>
        </w:rPr>
        <w:t xml:space="preserve">בקשה לקביעת המבקשת כאפוטרופסית יחידה וקבועה לקטינים ולמתן הוראות</w:t>
      </w:r>
    </w:p>
    <w:p>
      <w:pPr>
        <w:bidi/>
        <w:spacing w:after="160" w:before="0" w:line="360" w:lineRule="auto"/>
        <w:jc w:val="center"/>
      </w:pPr>
      <w:r>
        <w:rPr>
          <w:rFonts w:ascii="David" w:cs="David" w:eastAsia="David" w:hAnsi="David"/>
          <w:sz w:val="24"/>
          <w:szCs w:val="24"/>
          <w:rtl/>
        </w:rPr>
        <w:t xml:space="preserve">(לפי סעיפים 17, 19 ו-68 לחוק הכשרות המשפטית והאפוטרופסות, התשכ"ב-1962)</w:t>
      </w:r>
    </w:p>
    <w:p>
      <w:pPr>
        <w:bidi/>
        <w:spacing w:after="120" w:before="0" w:line="360" w:lineRule="auto"/>
        <w:jc w:val="both"/>
      </w:pPr>
      <w:r>
        <w:rPr>
          <w:rFonts w:ascii="David" w:cs="David" w:eastAsia="David" w:hAnsi="David"/>
          <w:sz w:val="24"/>
          <w:szCs w:val="24"/>
          <w:rtl/>
        </w:rPr>
        <w:t xml:space="preserve">בית המשפט הנכבד מתבקש להורות כי המבקשת תהיה האפוטרופסית היחידה לקטינים, ולחלופין להסמיכה לפעול לבדה בתחומים המפורטים להלן. ואלה נימוקי הבקשה:</w:t>
      </w:r>
    </w:p>
    <w:p>
      <w:pPr>
        <w:pStyle w:val="ListParagraph"/>
        <w:numPr>
          <w:ilvl w:val="0"/>
          <w:numId w:val="2"/>
        </w:numPr>
        <w:bidi/>
        <w:spacing w:after="120" w:before="0" w:line="360" w:lineRule="auto"/>
        <w:jc w:val="both"/>
      </w:pPr>
      <w:r>
        <w:rPr>
          <w:rFonts w:ascii="David" w:cs="David" w:eastAsia="David" w:hAnsi="David"/>
          <w:sz w:val="24"/>
          <w:szCs w:val="24"/>
          <w:rtl/>
        </w:rPr>
        <w:t xml:space="preserve">הצדדים, הורי הקטינים, מנהלים הליך גירושין ב</w:t>
      </w:r>
      <w:r>
        <w:rPr>
          <w:rFonts w:ascii="David" w:cs="David" w:eastAsia="David" w:hAnsi="David"/>
          <w:sz w:val="24"/>
          <w:szCs w:val="24"/>
          <w:highlight w:val="yellow"/>
          <w:highlightCs w:val="yellow"/>
          <w:rtl/>
        </w:rPr>
        <w:t xml:space="preserve">[בית הדין הרבני / בית המשפט לענייני משפחה]</w:t>
      </w:r>
      <w:r>
        <w:rPr>
          <w:rFonts w:ascii="David" w:cs="David" w:eastAsia="David" w:hAnsi="David"/>
          <w:sz w:val="24"/>
          <w:szCs w:val="24"/>
          <w:rtl/>
        </w:rPr>
        <w:t xml:space="preserve"> ב______________, בתיק ______________. מאז פרידתם ביום ______________ מתגוררים הקטינים עם המבקשת בלבד, ב______________, והיא לבדה נושאת בגידולם, בחינוכם ובבריאותם.</w:t>
      </w:r>
    </w:p>
    <w:p>
      <w:pPr>
        <w:pStyle w:val="ListParagraph"/>
        <w:numPr>
          <w:ilvl w:val="0"/>
          <w:numId w:val="2"/>
        </w:numPr>
        <w:bidi/>
        <w:spacing w:after="120" w:before="0" w:line="360" w:lineRule="auto"/>
        <w:jc w:val="both"/>
      </w:pPr>
      <w:r>
        <w:rPr>
          <w:rFonts w:ascii="David" w:cs="David" w:eastAsia="David" w:hAnsi="David"/>
          <w:sz w:val="24"/>
          <w:szCs w:val="24"/>
          <w:rtl/>
        </w:rPr>
        <w:t xml:space="preserve">המשיב מתגורר ב______________, כ-___ ק"מ מהקטינים. הוא אינו מעורב בגידולם ובטיפול בהם: אינו משתתף באסיפות הורים ובטיפולים רפואיים, ואינו משלם מזונות </w:t>
      </w:r>
      <w:r>
        <w:rPr>
          <w:rFonts w:ascii="David" w:cs="David" w:eastAsia="David" w:hAnsi="David"/>
          <w:sz w:val="24"/>
          <w:szCs w:val="24"/>
          <w:highlight w:val="yellow"/>
          <w:highlightCs w:val="yellow"/>
          <w:rtl/>
        </w:rPr>
        <w:t xml:space="preserve">[או: משלם באופן חלקי ובלתי סדיר]</w:t>
      </w:r>
      <w:r>
        <w:rPr>
          <w:rFonts w:ascii="David" w:cs="David" w:eastAsia="David" w:hAnsi="David"/>
          <w:sz w:val="24"/>
          <w:szCs w:val="24"/>
          <w:rtl/>
        </w:rPr>
        <w:t xml:space="preserve">.</w:t>
      </w:r>
    </w:p>
    <w:p>
      <w:pPr>
        <w:pStyle w:val="ListParagraph"/>
        <w:numPr>
          <w:ilvl w:val="0"/>
          <w:numId w:val="2"/>
        </w:numPr>
        <w:bidi/>
        <w:spacing w:after="120" w:before="0" w:line="360" w:lineRule="auto"/>
        <w:jc w:val="both"/>
      </w:pPr>
      <w:r>
        <w:rPr>
          <w:rFonts w:ascii="David" w:cs="David" w:eastAsia="David" w:hAnsi="David"/>
          <w:sz w:val="24"/>
          <w:szCs w:val="24"/>
          <w:rtl/>
        </w:rPr>
        <w:t xml:space="preserve">המשיב אינו נענה לפניות לחתום על מסמכים הנוגעים לקטינים. כך, ביום ______________ </w:t>
      </w:r>
      <w:r>
        <w:rPr>
          <w:rFonts w:ascii="David" w:cs="David" w:eastAsia="David" w:hAnsi="David"/>
          <w:sz w:val="24"/>
          <w:szCs w:val="24"/>
          <w:highlight w:val="yellow"/>
          <w:highlightCs w:val="yellow"/>
          <w:rtl/>
        </w:rPr>
        <w:t xml:space="preserve">[לא השיב / סירב]</w:t>
      </w:r>
      <w:r>
        <w:rPr>
          <w:rFonts w:ascii="David" w:cs="David" w:eastAsia="David" w:hAnsi="David"/>
          <w:sz w:val="24"/>
          <w:szCs w:val="24"/>
          <w:rtl/>
        </w:rPr>
        <w:t xml:space="preserve"> לבקשה לחתום על </w:t>
      </w:r>
      <w:r>
        <w:rPr>
          <w:rFonts w:ascii="David" w:cs="David" w:eastAsia="David" w:hAnsi="David"/>
          <w:sz w:val="24"/>
          <w:szCs w:val="24"/>
          <w:highlight w:val="yellow"/>
          <w:highlightCs w:val="yellow"/>
          <w:rtl/>
        </w:rPr>
        <w:t xml:space="preserve">[המסמך]</w:t>
      </w:r>
      <w:r>
        <w:rPr>
          <w:rFonts w:ascii="David" w:cs="David" w:eastAsia="David" w:hAnsi="David"/>
          <w:sz w:val="24"/>
          <w:szCs w:val="24"/>
          <w:rtl/>
        </w:rPr>
        <w:t xml:space="preserve">, וכתוצאה מכך </w:t>
      </w:r>
      <w:r>
        <w:rPr>
          <w:rFonts w:ascii="David" w:cs="David" w:eastAsia="David" w:hAnsi="David"/>
          <w:sz w:val="24"/>
          <w:szCs w:val="24"/>
          <w:highlight w:val="yellow"/>
          <w:highlightCs w:val="yellow"/>
          <w:rtl/>
        </w:rPr>
        <w:t xml:space="preserve">[הפגיעה בקטין]</w:t>
      </w:r>
      <w:r>
        <w:rPr>
          <w:rFonts w:ascii="David" w:cs="David" w:eastAsia="David" w:hAnsi="David"/>
          <w:sz w:val="24"/>
          <w:szCs w:val="24"/>
          <w:rtl/>
        </w:rPr>
        <w:t xml:space="preserve">. </w:t>
      </w:r>
      <w:r>
        <w:rPr>
          <w:rFonts w:ascii="David" w:cs="David" w:eastAsia="David" w:hAnsi="David"/>
          <w:sz w:val="24"/>
          <w:szCs w:val="24"/>
          <w:highlight w:val="yellow"/>
          <w:highlightCs w:val="yellow"/>
          <w:rtl/>
        </w:rPr>
        <w:t xml:space="preserve">[מקרה נוסף, אם יש.]</w:t>
      </w:r>
    </w:p>
    <w:p>
      <w:pPr>
        <w:pStyle w:val="ListParagraph"/>
        <w:numPr>
          <w:ilvl w:val="0"/>
          <w:numId w:val="2"/>
        </w:numPr>
        <w:bidi/>
        <w:spacing w:after="120" w:before="0" w:line="360" w:lineRule="auto"/>
        <w:jc w:val="both"/>
      </w:pPr>
      <w:r>
        <w:rPr>
          <w:rFonts w:ascii="David" w:cs="David" w:eastAsia="David" w:hAnsi="David"/>
          <w:sz w:val="24"/>
          <w:szCs w:val="24"/>
          <w:rtl/>
        </w:rPr>
        <w:t xml:space="preserve">בנסיבות אלה, דרישת ההסכמה של שני ההורים הפכה למכשול: כל פעולה שגרתית, כגון הנפקת דרכון, רישום למוסד חינוכי או טיפול רפואי ורגשי, מתעכבת, והקטינים הם שנפגעים.</w:t>
      </w:r>
    </w:p>
    <w:p>
      <w:pPr>
        <w:pStyle w:val="ListParagraph"/>
        <w:numPr>
          <w:ilvl w:val="0"/>
          <w:numId w:val="2"/>
        </w:numPr>
        <w:bidi/>
        <w:spacing w:after="120" w:before="0" w:line="360" w:lineRule="auto"/>
        <w:jc w:val="both"/>
      </w:pPr>
      <w:r>
        <w:rPr>
          <w:rFonts w:ascii="David" w:cs="David" w:eastAsia="David" w:hAnsi="David"/>
          <w:sz w:val="24"/>
          <w:szCs w:val="24"/>
          <w:rtl/>
        </w:rPr>
        <w:t xml:space="preserve">לפי סעיף 17 לחוק הכשרות המשפטית והאפוטרופסות (להלן: "החוק"), על ההורים לנהוג לטובת הקטין כדרך שהורים מסורים היו נוהגים. סעיף 18 מחייבם לפעול בהסכמה, וסעיף 19 קובע כי בהיעדר הסכמה יכריע בית המשפט. סעיף 68 מסמיך את בית המשפט לנקוט אמצעים זמניים או קבועים לשמירת ענייני הקטין. אפוטרופסות היא חובה כלפי הקטין ולא זכות וטו, והורה שאינו ממלא את חובותיו אינו יכול לעכב את צורכי ילדיו.</w:t>
      </w:r>
    </w:p>
    <w:p>
      <w:pPr>
        <w:pStyle w:val="ListParagraph"/>
        <w:numPr>
          <w:ilvl w:val="0"/>
          <w:numId w:val="2"/>
        </w:numPr>
        <w:bidi/>
        <w:spacing w:after="120" w:before="0" w:line="360" w:lineRule="auto"/>
        <w:jc w:val="both"/>
      </w:pPr>
      <w:r>
        <w:rPr>
          <w:rFonts w:ascii="David" w:cs="David" w:eastAsia="David" w:hAnsi="David"/>
          <w:sz w:val="24"/>
          <w:szCs w:val="24"/>
          <w:rtl/>
        </w:rPr>
        <w:t xml:space="preserve">הסעד המבוקש אינו שלילת אפוטרופסות, אלא הסדרת אופן הפעלתה, ולכן הוא האמצעי המידתי. המבקשת אינה מבקשת לפגוע בקשר בין המשיב לקטינים: היא תעדכן אותו בכתב בכל החלטה מהותית, והוא יוכל לקבל מידע ישירות ממוסדות החינוך ומהגורמים הרפואיים.</w:t>
      </w:r>
    </w:p>
    <w:p>
      <w:pPr>
        <w:pStyle w:val="ListParagraph"/>
        <w:numPr>
          <w:ilvl w:val="0"/>
          <w:numId w:val="2"/>
        </w:numPr>
        <w:bidi/>
        <w:spacing w:after="120" w:before="0" w:line="360" w:lineRule="auto"/>
        <w:jc w:val="both"/>
      </w:pPr>
      <w:r>
        <w:rPr>
          <w:rFonts w:ascii="David" w:cs="David" w:eastAsia="David" w:hAnsi="David"/>
          <w:sz w:val="24"/>
          <w:szCs w:val="24"/>
          <w:rtl/>
        </w:rPr>
        <w:t xml:space="preserve">הסמכות נתונה לבית משפט נכבד זה לפי סעיפים 1 ו-3 לחוק בית המשפט לענייני משפחה, התשנ"ה-1995, ולאור מקום מגורי הקטינים. עניין האפוטרופסות לא נכרך בתביעת הגירושין.</w:t>
      </w:r>
    </w:p>
    <w:p>
      <w:pPr>
        <w:keepNext/>
        <w:bidi/>
        <w:spacing w:after="120" w:before="120" w:line="360" w:lineRule="auto"/>
        <w:jc w:val="both"/>
      </w:pPr>
      <w:r>
        <w:rPr>
          <w:rFonts w:ascii="David" w:cs="David" w:eastAsia="David" w:hAnsi="David"/>
          <w:b/>
          <w:bCs/>
          <w:sz w:val="24"/>
          <w:szCs w:val="24"/>
          <w:rtl/>
        </w:rPr>
        <w:t xml:space="preserve">אשר על כן, מתבקש בית המשפט הנכבד:</w:t>
      </w:r>
    </w:p>
    <w:p>
      <w:pPr>
        <w:pStyle w:val="ListParagraph"/>
        <w:numPr>
          <w:ilvl w:val="0"/>
          <w:numId w:val="3"/>
        </w:numPr>
        <w:bidi/>
        <w:spacing w:after="120" w:before="0" w:line="360" w:lineRule="auto"/>
        <w:jc w:val="both"/>
      </w:pPr>
      <w:r>
        <w:rPr>
          <w:rFonts w:ascii="David" w:cs="David" w:eastAsia="David" w:hAnsi="David"/>
          <w:sz w:val="24"/>
          <w:szCs w:val="24"/>
          <w:rtl/>
        </w:rPr>
        <w:t xml:space="preserve">להורות כי המבקשת </w:t>
      </w:r>
      <w:r>
        <w:rPr>
          <w:rFonts w:ascii="David" w:cs="David" w:eastAsia="David" w:hAnsi="David"/>
          <w:b/>
          <w:bCs/>
          <w:sz w:val="24"/>
          <w:szCs w:val="24"/>
          <w:rtl/>
        </w:rPr>
        <w:t xml:space="preserve">תהיה האפוטרופסית היחידה לקטינים</w:t>
      </w:r>
      <w:r>
        <w:rPr>
          <w:rFonts w:ascii="David" w:cs="David" w:eastAsia="David" w:hAnsi="David"/>
          <w:sz w:val="24"/>
          <w:szCs w:val="24"/>
          <w:rtl/>
        </w:rPr>
        <w:t xml:space="preserve">, ותהיה מוסמכת לקבל לבדה כל החלטה ולחתום לבדה על כל מסמך בעניינם, בלא צורך בהסכמת המשיב או בחתימתו, מול כל רשות ומוסד.</w:t>
      </w:r>
    </w:p>
    <w:p>
      <w:pPr>
        <w:pStyle w:val="ListParagraph"/>
        <w:numPr>
          <w:ilvl w:val="0"/>
          <w:numId w:val="3"/>
        </w:numPr>
        <w:bidi/>
        <w:spacing w:after="120" w:before="0" w:line="360" w:lineRule="auto"/>
        <w:jc w:val="both"/>
      </w:pPr>
      <w:r>
        <w:rPr>
          <w:rFonts w:ascii="David" w:cs="David" w:eastAsia="David" w:hAnsi="David"/>
          <w:b/>
          <w:bCs/>
          <w:sz w:val="24"/>
          <w:szCs w:val="24"/>
          <w:rtl/>
        </w:rPr>
        <w:t xml:space="preserve">לחלופין</w:t>
      </w:r>
      <w:r>
        <w:rPr>
          <w:rFonts w:ascii="David" w:cs="David" w:eastAsia="David" w:hAnsi="David"/>
          <w:sz w:val="24"/>
          <w:szCs w:val="24"/>
          <w:rtl/>
        </w:rPr>
        <w:t xml:space="preserve">, להסמיך את המבקשת לפעול לבדה בעניין דרכונים, חינוך, טיפול רפואי ורגשי, רשויות הרווחה והמוסד לביטוח לאומי, וחשבונות בנק על שם הקטינים.</w:t>
      </w:r>
    </w:p>
    <w:p>
      <w:pPr>
        <w:pStyle w:val="ListParagraph"/>
        <w:numPr>
          <w:ilvl w:val="0"/>
          <w:numId w:val="3"/>
        </w:numPr>
        <w:bidi/>
        <w:spacing w:after="120" w:before="0" w:line="360" w:lineRule="auto"/>
        <w:jc w:val="both"/>
      </w:pPr>
      <w:r>
        <w:rPr>
          <w:rFonts w:ascii="David" w:cs="David" w:eastAsia="David" w:hAnsi="David"/>
          <w:sz w:val="24"/>
          <w:szCs w:val="24"/>
          <w:rtl/>
        </w:rPr>
        <w:t xml:space="preserve">לקבוע כי המבקשת תעדכן את המשיב בכתב בכל החלטה מהותית, וכי המשיב יהיה רשאי לקבל מידע ממוסדות החינוך ומהגורמים הרפואיים.</w:t>
      </w:r>
    </w:p>
    <w:p>
      <w:pPr>
        <w:pStyle w:val="ListParagraph"/>
        <w:numPr>
          <w:ilvl w:val="0"/>
          <w:numId w:val="3"/>
        </w:numPr>
        <w:bidi/>
        <w:spacing w:after="120" w:before="0" w:line="360" w:lineRule="auto"/>
        <w:jc w:val="both"/>
      </w:pPr>
      <w:r>
        <w:rPr>
          <w:rFonts w:ascii="David" w:cs="David" w:eastAsia="David" w:hAnsi="David"/>
          <w:sz w:val="24"/>
          <w:szCs w:val="24"/>
          <w:highlight w:val="yellow"/>
          <w:highlightCs w:val="yellow"/>
          <w:rtl/>
        </w:rPr>
        <w:t xml:space="preserve">[עד להכרעה בבקשה, ליתן סעד זמני המסמיך את המבקשת לפעול לבדה בעניין הדחוף הבא: ______________. למחוק אם אין עניין דחוף.]</w:t>
      </w:r>
    </w:p>
    <w:p>
      <w:pPr>
        <w:pStyle w:val="ListParagraph"/>
        <w:numPr>
          <w:ilvl w:val="0"/>
          <w:numId w:val="3"/>
        </w:numPr>
        <w:bidi/>
        <w:spacing w:after="120" w:before="0" w:line="360" w:lineRule="auto"/>
        <w:jc w:val="both"/>
      </w:pPr>
      <w:r>
        <w:rPr>
          <w:rFonts w:ascii="David" w:cs="David" w:eastAsia="David" w:hAnsi="David"/>
          <w:sz w:val="24"/>
          <w:szCs w:val="24"/>
          <w:rtl/>
        </w:rPr>
        <w:t xml:space="preserve">לחייב את המשיב בהוצאות הבקשה, וליתן כל סעד אחר שיימצא לנכון.</w:t>
      </w:r>
    </w:p>
    <w:p>
      <w:pPr>
        <w:bidi/>
        <w:spacing w:after="120" w:before="120" w:line="360" w:lineRule="auto"/>
        <w:jc w:val="both"/>
      </w:pPr>
      <w:r>
        <w:rPr>
          <w:rFonts w:ascii="David" w:cs="David" w:eastAsia="David" w:hAnsi="David"/>
          <w:sz w:val="24"/>
          <w:szCs w:val="24"/>
          <w:rtl/>
        </w:rPr>
        <w:t xml:space="preserve">הבקשה נתמכת בתצהיר המבקשת (נספח א'). מצורפים ספח תעודת הזהות של המבקשת (נספח ב') והתכתובות עם המשיב (נספח ג').</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תאריך: ______________</w:t>
            </w:r>
          </w:p>
        </w:tc>
        <w:tc>
          <w:tcPr>
            <w:tcW w:type="dxa" w:w="4536"/>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jc w:val="end"/>
            </w:pPr>
            <w:r>
              <w:rPr>
                <w:rFonts w:ascii="David" w:cs="David" w:eastAsia="David" w:hAnsi="David"/>
                <w:sz w:val="24"/>
                <w:szCs w:val="24"/>
                <w:rtl/>
              </w:rPr>
              <w:t xml:space="preserve">_______________________</w:t>
            </w:r>
          </w:p>
          <w:p>
            <w:pPr>
              <w:bidi/>
              <w:spacing w:after="0"/>
              <w:jc w:val="end"/>
            </w:pPr>
            <w:r>
              <w:rPr>
                <w:rFonts w:ascii="David" w:cs="David" w:eastAsia="David" w:hAnsi="David"/>
                <w:sz w:val="24"/>
                <w:szCs w:val="24"/>
                <w:rtl/>
              </w:rPr>
              <w:t xml:space="preserve">סולומון טקה, עו"ד, ב"כ המבקשת</w:t>
            </w:r>
          </w:p>
        </w:tc>
      </w:tr>
    </w:tbl>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3" w15:restartNumberingAfterBreak="0">
    <w:multiLevelType w:val="hybridMultilevel"/>
    <w:lvl w:ilvl="0" w15:tentative="1">
      <w:start w:val="1"/>
      <w:numFmt w:val="hebrew1"/>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4" w15:restartNumberingAfterBreak="0">
    <w:multiLevelType w:val="hybridMultilevel"/>
    <w:lvl w:ilvl="0" w15:tentative="1">
      <w:start w:val="1"/>
      <w:numFmt w:val="bullet"/>
      <w:suff w:val="tab"/>
      <w:lvlText w:val="•"/>
      <w:lvlJc w:val="start"/>
      <w:pPr>
        <w:ind w:left="567" w:hanging="567"/>
      </w:pPr>
      <w:rPr>
        <w:rFonts w:ascii="David" w:cs="David" w:eastAsia="David" w:hAnsi="David"/>
        <w:sz w:val="24"/>
        <w:szCs w:val="24"/>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בקשה לאפוטרופסות יחידה וקבועה</dc:title>
  <dc:creator>סולומון טקה, עו"ד</dc:creator>
  <cp:lastModifiedBy>Un-named</cp:lastModifiedBy>
  <cp:revision>1</cp:revision>
  <dcterms:created xsi:type="dcterms:W3CDTF">2026-10-25T14:57:37.013Z</dcterms:created>
  <dcterms:modified xsi:type="dcterms:W3CDTF">2026-10-25T14:57:37.013Z</dcterms:modified>
</cp:coreProperties>
</file>

<file path=docProps/custom.xml><?xml version="1.0" encoding="utf-8"?>
<Properties xmlns="http://schemas.openxmlformats.org/officeDocument/2006/custom-properties" xmlns:vt="http://schemas.openxmlformats.org/officeDocument/2006/docPropsVTypes"/>
</file>