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bidi/>
              <w:spacing w:after="40"/>
              <w:jc w:val="start"/>
            </w:pPr>
            <w:r>
              <w:rPr>
                <w:rFonts w:ascii="David" w:cs="David" w:eastAsia="David" w:hAnsi="David"/>
                <w:b/>
                <w:bCs/>
                <w:sz w:val="26"/>
                <w:szCs w:val="26"/>
                <w:rtl/>
              </w:rPr>
              <w:t xml:space="preserve">בבית המשפט לענייני משפחה</w:t>
            </w:r>
          </w:p>
          <w:p>
            <w:pPr>
              <w:bidi/>
              <w:jc w:val="start"/>
            </w:pPr>
            <w:r>
              <w:rPr>
                <w:rFonts w:ascii="David" w:cs="David" w:eastAsia="David" w:hAnsi="David"/>
                <w:b/>
                <w:bCs/>
                <w:sz w:val="26"/>
                <w:szCs w:val="26"/>
                <w:rtl/>
              </w:rPr>
              <w:t xml:space="preserve">בפתח תקווה</w:t>
            </w:r>
          </w:p>
        </w:tc>
        <w:tc>
          <w:tcPr>
            <w:tcW w:type="dxa" w:w="4536"/>
            <w:tcBorders>
              <w:top w:val="none" w:color="FFFFFF" w:sz="0"/>
              <w:left w:val="none" w:color="FFFFFF" w:sz="0"/>
              <w:bottom w:val="none" w:color="FFFFFF" w:sz="0"/>
              <w:right w:val="none" w:color="FFFFFF" w:sz="0"/>
            </w:tcBorders>
          </w:tcPr>
          <w:p>
            <w:pPr>
              <w:bidi/>
              <w:jc w:val="end"/>
            </w:pPr>
            <w:r>
              <w:rPr>
                <w:rFonts w:ascii="David" w:cs="David" w:eastAsia="David" w:hAnsi="David"/>
                <w:b/>
                <w:bCs/>
                <w:sz w:val="26"/>
                <w:szCs w:val="26"/>
                <w:rtl/>
              </w:rPr>
              <w:t xml:space="preserve">תלה"מ _______________</w:t>
            </w:r>
          </w:p>
        </w:tc>
      </w:tr>
    </w:tbl>
    <w:p>
      <w:pPr>
        <w:bidi/>
        <w:spacing w:after="100"/>
        <w:jc w:val="end"/>
      </w:pPr>
      <w:r>
        <w:rPr>
          <w:rFonts w:ascii="David" w:cs="David" w:eastAsia="David" w:hAnsi="David"/>
          <w:b w:val="false"/>
          <w:bCs w:val="false"/>
          <w:sz w:val="22"/>
          <w:szCs w:val="22"/>
          <w:rtl/>
        </w:rPr>
        <w:t xml:space="preserve">הליכים קשורים: 16016-04-25, 16735-04-25, 1177878/3</w:t>
      </w:r>
    </w:p>
    <w:p>
      <w:pPr>
        <w:pBdr>
          <w:bottom w:val="single" w:color="000000" w:sz="6" w:space="1"/>
        </w:pBdr>
        <w:bidi/>
        <w:spacing w:after="120"/>
      </w:pPr>
      <w:r>
        <w:rPr>
          <w:rFonts w:ascii="David" w:cs="David" w:eastAsia="David" w:hAnsi="David"/>
          <w:b w:val="false"/>
          <w:bCs w:val="false"/>
          <w:sz w:val="8"/>
          <w:szCs w:val="8"/>
          <w:rtl/>
        </w:rPr>
        <w:t xml:space="preserve"/>
      </w:r>
    </w:p>
    <w:p>
      <w:pPr>
        <w:bidi/>
        <w:spacing w:after="40"/>
        <w:jc w:val="start"/>
      </w:pPr>
      <w:r>
        <w:rPr>
          <w:rFonts w:ascii="David" w:cs="David" w:eastAsia="David" w:hAnsi="David"/>
          <w:b/>
          <w:bCs/>
          <w:sz w:val="24"/>
          <w:szCs w:val="24"/>
          <w:u w:val="single"/>
          <w:rtl/>
        </w:rPr>
        <w:t xml:space="preserve">בעניין הקטינים:</w:t>
      </w:r>
    </w:p>
    <w:p>
      <w:pPr>
        <w:bidi/>
        <w:spacing w:after="20"/>
        <w:jc w:val="start"/>
      </w:pPr>
      <w:r>
        <w:rPr>
          <w:rFonts w:ascii="David" w:cs="David" w:eastAsia="David" w:hAnsi="David"/>
          <w:b w:val="false"/>
          <w:bCs w:val="false"/>
          <w:sz w:val="24"/>
          <w:szCs w:val="24"/>
          <w:rtl/>
        </w:rPr>
        <w:t xml:space="preserve">מרי אלירן, ת.ז. 223136599, יליד 15.8.2014</w:t>
      </w:r>
    </w:p>
    <w:p>
      <w:pPr>
        <w:bidi/>
        <w:spacing w:after="20"/>
        <w:jc w:val="start"/>
      </w:pPr>
      <w:r>
        <w:rPr>
          <w:rFonts w:ascii="David" w:cs="David" w:eastAsia="David" w:hAnsi="David"/>
          <w:b w:val="false"/>
          <w:bCs w:val="false"/>
          <w:sz w:val="24"/>
          <w:szCs w:val="24"/>
          <w:rtl/>
        </w:rPr>
        <w:t xml:space="preserve">מרי ליאל, ת.ז. 225770387, ילידת 29.5.2017</w:t>
      </w:r>
    </w:p>
    <w:p>
      <w:pPr>
        <w:bidi/>
        <w:spacing w:after="20"/>
        <w:jc w:val="start"/>
      </w:pPr>
      <w:r>
        <w:rPr>
          <w:rFonts w:ascii="David" w:cs="David" w:eastAsia="David" w:hAnsi="David"/>
          <w:b w:val="false"/>
          <w:bCs w:val="false"/>
          <w:sz w:val="24"/>
          <w:szCs w:val="24"/>
          <w:rtl/>
        </w:rPr>
        <w:t xml:space="preserve">מרי אמילי, ת.ז. 228673067, ילידת 18.1.2020</w:t>
      </w:r>
    </w:p>
    <w:p>
      <w:pPr>
        <w:bidi/>
        <w:spacing w:after="20"/>
        <w:jc w:val="start"/>
      </w:pPr>
      <w:r>
        <w:rPr>
          <w:rFonts w:ascii="David" w:cs="David" w:eastAsia="David" w:hAnsi="David"/>
          <w:b w:val="false"/>
          <w:bCs w:val="false"/>
          <w:sz w:val="24"/>
          <w:szCs w:val="24"/>
          <w:rtl/>
        </w:rPr>
        <w:t xml:space="preserve">מרי נויה, ת.ז. 239352867, ילידת 27.4.2024</w:t>
      </w:r>
    </w:p>
    <w:p>
      <w:pPr>
        <w:spacing w:after="60"/>
      </w:pPr>
      <w:r>
        <w:rPr>
          <w:rFonts w:ascii="David" w:cs="David" w:eastAsia="David" w:hAnsi="David"/>
          <w:b w:val="false"/>
          <w:bCs w:val="false"/>
          <w:sz w:val="8"/>
          <w:szCs w:val="8"/>
          <w:rtl/>
        </w:rPr>
        <w:t xml:space="preserve"/>
      </w:r>
    </w:p>
    <w:p>
      <w:pPr>
        <w:bidi/>
        <w:spacing w:after="40" w:before="120"/>
        <w:jc w:val="start"/>
      </w:pPr>
      <w:r>
        <w:rPr>
          <w:rFonts w:ascii="David" w:cs="David" w:eastAsia="David" w:hAnsi="David"/>
          <w:b/>
          <w:bCs/>
          <w:sz w:val="24"/>
          <w:szCs w:val="24"/>
          <w:u w:val="single"/>
          <w:rtl/>
        </w:rPr>
        <w:t xml:space="preserve">התובע:</w:t>
      </w:r>
    </w:p>
    <w:p>
      <w:pPr>
        <w:bidi/>
        <w:spacing w:after="20"/>
        <w:jc w:val="start"/>
      </w:pPr>
      <w:r>
        <w:rPr>
          <w:rFonts w:ascii="David" w:cs="David" w:eastAsia="David" w:hAnsi="David"/>
          <w:b w:val="false"/>
          <w:bCs w:val="false"/>
          <w:sz w:val="24"/>
          <w:szCs w:val="24"/>
          <w:rtl/>
        </w:rPr>
        <w:t xml:space="preserve">מרי מלקמו, ת.ז. 323321174</w:t>
      </w:r>
    </w:p>
    <w:p>
      <w:pPr>
        <w:bidi/>
        <w:spacing w:after="20"/>
        <w:jc w:val="start"/>
      </w:pPr>
      <w:r>
        <w:rPr>
          <w:rFonts w:ascii="David" w:cs="David" w:eastAsia="David" w:hAnsi="David"/>
          <w:b w:val="false"/>
          <w:bCs w:val="false"/>
          <w:sz w:val="24"/>
          <w:szCs w:val="24"/>
          <w:rtl/>
        </w:rPr>
        <w:t xml:space="preserve">מרחוב נחום 20, נתניה</w:t>
      </w:r>
    </w:p>
    <w:p>
      <w:pPr>
        <w:bidi/>
        <w:spacing w:after="20"/>
        <w:jc w:val="start"/>
      </w:pPr>
      <w:r>
        <w:rPr>
          <w:rFonts w:ascii="David" w:cs="David" w:eastAsia="David" w:hAnsi="David"/>
          <w:b w:val="false"/>
          <w:bCs w:val="false"/>
          <w:sz w:val="24"/>
          <w:szCs w:val="24"/>
          <w:rtl/>
        </w:rPr>
        <w:t xml:space="preserve">ע"י ב"כ עו"ד גילעד אבוהיי, מ.ר 84365</w:t>
      </w:r>
    </w:p>
    <w:p>
      <w:pPr>
        <w:bidi/>
        <w:spacing w:after="20"/>
        <w:jc w:val="start"/>
      </w:pPr>
      <w:r>
        <w:rPr>
          <w:rFonts w:ascii="David" w:cs="David" w:eastAsia="David" w:hAnsi="David"/>
          <w:b w:val="false"/>
          <w:bCs w:val="false"/>
          <w:sz w:val="24"/>
          <w:szCs w:val="24"/>
          <w:rtl/>
        </w:rPr>
        <w:t xml:space="preserve">מרחוב סמילנסקי 4, נתניה | טל': 09-8340070 | פקס': 09-9742323</w:t>
      </w:r>
    </w:p>
    <w:p>
      <w:pPr>
        <w:bidi/>
        <w:spacing w:after="40"/>
        <w:jc w:val="start"/>
      </w:pPr>
      <w:r>
        <w:rPr>
          <w:rFonts w:ascii="David" w:cs="David" w:eastAsia="David" w:hAnsi="David"/>
          <w:b/>
          <w:bCs/>
          <w:sz w:val="24"/>
          <w:szCs w:val="24"/>
          <w:rtl/>
        </w:rPr>
        <w:t xml:space="preserve">(להלן: "התובע" או "האב")</w:t>
      </w:r>
    </w:p>
    <w:p>
      <w:pPr>
        <w:bidi/>
        <w:spacing w:after="60" w:before="60"/>
        <w:jc w:val="center"/>
      </w:pPr>
      <w:r>
        <w:rPr>
          <w:rFonts w:ascii="David" w:cs="David" w:eastAsia="David" w:hAnsi="David"/>
          <w:b/>
          <w:bCs/>
          <w:sz w:val="24"/>
          <w:szCs w:val="24"/>
          <w:rtl/>
        </w:rPr>
        <w:t xml:space="preserve">- נ ג ד -</w:t>
      </w:r>
    </w:p>
    <w:p>
      <w:pPr>
        <w:bidi/>
        <w:spacing w:after="40" w:before="120"/>
        <w:jc w:val="start"/>
      </w:pPr>
      <w:r>
        <w:rPr>
          <w:rFonts w:ascii="David" w:cs="David" w:eastAsia="David" w:hAnsi="David"/>
          <w:b/>
          <w:bCs/>
          <w:sz w:val="24"/>
          <w:szCs w:val="24"/>
          <w:u w:val="single"/>
          <w:rtl/>
        </w:rPr>
        <w:t xml:space="preserve">הנתבעת:</w:t>
      </w:r>
    </w:p>
    <w:p>
      <w:pPr>
        <w:bidi/>
        <w:spacing w:after="20"/>
        <w:jc w:val="start"/>
      </w:pPr>
      <w:r>
        <w:rPr>
          <w:rFonts w:ascii="David" w:cs="David" w:eastAsia="David" w:hAnsi="David"/>
          <w:b w:val="false"/>
          <w:bCs w:val="false"/>
          <w:sz w:val="24"/>
          <w:szCs w:val="24"/>
          <w:rtl/>
        </w:rPr>
        <w:t xml:space="preserve">מרי סיראנש, ת.ז. 324562511</w:t>
      </w:r>
    </w:p>
    <w:p>
      <w:pPr>
        <w:bidi/>
        <w:spacing w:after="20"/>
        <w:jc w:val="start"/>
      </w:pPr>
      <w:r>
        <w:rPr>
          <w:rFonts w:ascii="David" w:cs="David" w:eastAsia="David" w:hAnsi="David"/>
          <w:b w:val="false"/>
          <w:bCs w:val="false"/>
          <w:sz w:val="24"/>
          <w:szCs w:val="24"/>
          <w:rtl/>
        </w:rPr>
        <w:t xml:space="preserve">מרחוב נחום 20, נתניה | נייד: 0543448242</w:t>
      </w:r>
    </w:p>
    <w:p>
      <w:pPr>
        <w:bidi/>
        <w:spacing w:after="20"/>
        <w:jc w:val="start"/>
      </w:pPr>
      <w:r>
        <w:rPr>
          <w:rFonts w:ascii="David" w:cs="David" w:eastAsia="David" w:hAnsi="David"/>
          <w:b w:val="false"/>
          <w:bCs w:val="false"/>
          <w:sz w:val="24"/>
          <w:szCs w:val="24"/>
          <w:rtl/>
        </w:rPr>
        <w:t xml:space="preserve">ע"י ב"כ עו"ד _______________, מ.ר _______________</w:t>
      </w:r>
    </w:p>
    <w:p>
      <w:pPr>
        <w:bidi/>
        <w:spacing w:after="20"/>
        <w:jc w:val="start"/>
      </w:pPr>
      <w:r>
        <w:rPr>
          <w:rFonts w:ascii="David" w:cs="David" w:eastAsia="David" w:hAnsi="David"/>
          <w:b w:val="false"/>
          <w:bCs w:val="false"/>
          <w:sz w:val="24"/>
          <w:szCs w:val="24"/>
          <w:rtl/>
        </w:rPr>
        <w:t xml:space="preserve">מרחוב _______________ | טל': _______________ | פקס': _______________</w:t>
      </w:r>
    </w:p>
    <w:p>
      <w:pPr>
        <w:bidi/>
        <w:spacing w:after="40"/>
        <w:jc w:val="start"/>
      </w:pPr>
      <w:r>
        <w:rPr>
          <w:rFonts w:ascii="David" w:cs="David" w:eastAsia="David" w:hAnsi="David"/>
          <w:b/>
          <w:bCs/>
          <w:sz w:val="24"/>
          <w:szCs w:val="24"/>
          <w:rtl/>
        </w:rPr>
        <w:t xml:space="preserve">(להלן: "הנתבעת" או "האם")</w:t>
      </w:r>
    </w:p>
    <w:p>
      <w:pPr>
        <w:pBdr>
          <w:bottom w:val="single" w:color="000000" w:sz="6" w:space="1"/>
        </w:pBdr>
        <w:bidi/>
        <w:spacing w:after="120"/>
      </w:pPr>
      <w:r>
        <w:rPr>
          <w:rFonts w:ascii="David" w:cs="David" w:eastAsia="David" w:hAnsi="David"/>
          <w:b w:val="false"/>
          <w:bCs w:val="false"/>
          <w:sz w:val="8"/>
          <w:szCs w:val="8"/>
          <w:rtl/>
        </w:rPr>
        <w:t xml:space="preserve"/>
      </w:r>
    </w:p>
    <w:p>
      <w:pPr>
        <w:bidi/>
        <w:spacing w:after="240" w:before="200"/>
        <w:jc w:val="center"/>
      </w:pPr>
      <w:r>
        <w:rPr>
          <w:rFonts w:ascii="David" w:cs="David" w:eastAsia="David" w:hAnsi="David"/>
          <w:b/>
          <w:bCs/>
          <w:sz w:val="30"/>
          <w:szCs w:val="30"/>
          <w:u w:val="single"/>
          <w:rtl/>
        </w:rPr>
        <w:t xml:space="preserve">כתב הגנה</w:t>
      </w:r>
    </w:p>
    <w:p>
      <w:pPr>
        <w:bidi/>
        <w:spacing w:after="180" w:line="360" w:lineRule="auto"/>
        <w:jc w:val="both"/>
      </w:pPr>
      <w:r>
        <w:rPr>
          <w:rFonts w:ascii="David" w:cs="David" w:eastAsia="David" w:hAnsi="David"/>
          <w:b w:val="false"/>
          <w:bCs w:val="false"/>
          <w:sz w:val="24"/>
          <w:szCs w:val="24"/>
          <w:rtl/>
        </w:rPr>
        <w:t xml:space="preserve">הנתבעת מתכבדת להגיש לבית המשפט הנכבד את כתב הגנתה, בתשובה לכתב התביעה שהוגש נגדה על ידי התובע לקביעת אחריות הורית משותפת (משמורת משותפת) וזמני שהות שוויוניים, וכל זאת כמפורט להלן:</w:t>
      </w:r>
    </w:p>
    <w:p>
      <w:pPr>
        <w:bidi/>
        <w:spacing w:after="120" w:before="260" w:line="360" w:lineRule="auto"/>
        <w:jc w:val="start"/>
      </w:pPr>
      <w:r>
        <w:rPr>
          <w:rFonts w:ascii="David" w:cs="David" w:eastAsia="David" w:hAnsi="David"/>
          <w:b/>
          <w:bCs/>
          <w:sz w:val="26"/>
          <w:szCs w:val="26"/>
          <w:u w:val="single"/>
          <w:rtl/>
        </w:rPr>
        <w:t xml:space="preserve">א. הערות מקדמיות וכללי</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הנתבעת דוחה את מרבית הטענות העובדתיות והמשפטיות המפורטות בכתב התביעה, ככל שאינן עולות בקנה אחד עם המפורט בכתב הגנה זה, ומכחישה כל טענה שאינה מודה בה במפורש.</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בפתח הדברים ולמען הסר ספק יובהר: הנתבעת אינה מתנגדת, כשלעצמה, לקיומו של קשר רציף ומשמעותי בין הקטינים לאביהם ולמעורבותו בחייהם, שכן טובת הקטינים לגדול בקשר עם שני הוריהם. אולם, אין בכך כדי להביא לקבלת התביעה לאחריות הורית משותפת, משמורת משותפת וזמני שהות שוויוניים כמבוקש, וזאת מן הטעם שהתובע אינו ערוך ואינו מסוגל, נכון להיום, לעמוד בחובות היום-יומיות הכרוכות בגידול הקטינים ובטיפול השוטף בהם, והכול כמפורט להלן ומטעמים של טובת הקטינים ושלומם.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התיאור המובא בכתב התביעה, ולפיו התובע שותף מלא ופעיל בגידול הקטינים ובטיפול היום-יומי בהם, רחוק מן המציאות ואינו משקף את חלוקת התפקידים ההורית שנהגה בפועל לאורך השנים בין הצדדים.</w:t>
      </w:r>
    </w:p>
    <w:p>
      <w:pPr>
        <w:bidi/>
        <w:spacing w:after="120" w:before="260" w:line="360" w:lineRule="auto"/>
        <w:jc w:val="start"/>
      </w:pPr>
      <w:r>
        <w:rPr>
          <w:rFonts w:ascii="David" w:cs="David" w:eastAsia="David" w:hAnsi="David"/>
          <w:b/>
          <w:bCs/>
          <w:sz w:val="26"/>
          <w:szCs w:val="26"/>
          <w:u w:val="single"/>
          <w:rtl/>
        </w:rPr>
        <w:t xml:space="preserve">ב. תשובה עניינית לטענות כתב התביעה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האמור בסעיפים 2 ו-6 עד 13 לכתב התביעה, ולפיו התובע היה ועודנו שותף מלא בגידול הקטינים, מטפל בהם באופן יומיומי, דואג לצורכיהם, לחינוכם, לבריאותם ולרווחתם וממלא את מלוא חובותיו ההוריות באופן רציף, מוכחש מכל וכל ואינו נכון.</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התובע אינו מכיר את שגרת חייהם והרגליהם היום-יומיים של הקטינים. הוא אינו יודע מהם המאכלים האהובים עליהם ומהם אלה שאינם אהובים עליהם, אינו בקיא בהעדפותיהם, ואין לו היכרות של ממש עם עולמם ועם צורכיהם.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התובע אינו פוקד את מוסדות החינוך של הקטינים ואינו מעורב בנעשה בהם. המורים, המחנכים והצוות החינוכי אינם מכירים אותו כלל, והוא אינו נוכח באירועים, באסיפות ובשגרה החינוכית של הקטינים.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התובע אינו יודע כיצד להכין מזון לקטינים. במהלך כל שנות המגורים המשותפים לא נכנס התובע למטבח ולא הכין ולו ארוחה אחת עבור הקטינים, ואף לא ביצה מטוגנת.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התובע אינו נוטל חלק בעבודות הבית ובניהול משק הבית: אינו מבצע כביסות, אינו שוטף כלים, ואינו אחראי על הקניות המרוכזות של הבית. רק לאחרונה החל לרכוש מוצרים בודדים ומזדמנים במכולת השכונתית בלבד, כגון חלב, אשל וכיוצא באלה, ואין בכך כדי ללמד על נשיאה בנטל הטיפול היום-יומי בקטינים.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בהתאם לאמור, מוכחשת גם הטענה שבסעיף 8 לכתב התביעה, ולפיה נושא התובע בפועל במרבית הוצאות משק הבית והמשפחה. הטענה מוכחשת ועל התובע להוכיחה, לרבות בהצגת אסמכתאות.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מוכחשת אף הטענה שבסעיף 9 לכתב התביעה, ולפיה הנתבעת אינה נושאת בפועל במרבית ההוצאות השוטפות של הקטינים. הנתבעת היא הנושאת בעיקר הנטל הטיפולי והכלכלי היום-יומי הכרוך בגידול הקטינים.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הנתבעת מודה כי הצדדים מתגוררים כיום תחת קורת גג אחת (כאמור בסעיף 5 לכתב התביעה), אולם עצם המגורים המשותפים אין בו כדי ללמד על מעורבות טיפולית שוויונית מצד התובע, ואף מדגיש את הפער בין הנטען לבין המציאות בפועל.</w:t>
      </w:r>
    </w:p>
    <w:p>
      <w:pPr>
        <w:bidi/>
        <w:spacing w:after="120" w:before="260" w:line="360" w:lineRule="auto"/>
        <w:jc w:val="start"/>
      </w:pPr>
      <w:r>
        <w:rPr>
          <w:rFonts w:ascii="David" w:cs="David" w:eastAsia="David" w:hAnsi="David"/>
          <w:b/>
          <w:bCs/>
          <w:sz w:val="26"/>
          <w:szCs w:val="26"/>
          <w:u w:val="single"/>
          <w:rtl/>
        </w:rPr>
        <w:t xml:space="preserve">ג. חשש ממשי לשלום הקטינים - צריכת אלכוהול</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למעלה מן הדרוש, ומטעמים של טובת הקטינים ושלומם בלבד, מוצאת הנתבעת להביא לידיעת בית המשפט הנכבד עניין נוסף המעורר דאגה של ממש.</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התובע צורך משקאות חריפים באופן יום-יומי. מדי לילה מצוי מתחת למיטתו בקבוק משקה חריף, בעיקר ערק, והוא נוהג להסתגר בחדרו ולשתות ללא הפוגה.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התנהלות זו מתרחשת בבית שבו מתגוררים הקטינים, ומעוררת חשש ממשי וכבד באשר ליכולתו של התובע ליטול על עצמו אחריות הורית משותפת ומשמורת משותפת, ולשמור על שלומם, ביטחונם ובטיחותם של הקטינים בעת שהותם עמו.</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בנסיבות אלה, קבלת התביעה לזמני שהות שוויוניים ולמשמורת משותפת, בטרם נבחנה כשירותו ההורית של התובע לעומק, עלולה לפגוע בטובת הקטינים ובשלומם.</w:t>
      </w:r>
    </w:p>
    <w:p>
      <w:pPr>
        <w:bidi/>
        <w:spacing w:after="120" w:before="260" w:line="360" w:lineRule="auto"/>
        <w:jc w:val="start"/>
      </w:pPr>
      <w:r>
        <w:rPr>
          <w:rFonts w:ascii="David" w:cs="David" w:eastAsia="David" w:hAnsi="David"/>
          <w:b/>
          <w:bCs/>
          <w:sz w:val="26"/>
          <w:szCs w:val="26"/>
          <w:u w:val="single"/>
          <w:rtl/>
        </w:rPr>
        <w:t xml:space="preserve">ד. טובת הקטינים והצורך בתסקיר בטרם הכרעה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טובת הקטינים היא העיקרון העליון המנחה כל הכרעה בעניינם, ועל בית המשפט לבחון לעומק את יכולתו, כשירותו ומסוגלותו ההורית של כל אחד מן ההורים בטרם תתקבל הכרעה בדבר חלוקת האחריות ההורית וזמני השהות.</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יצוין כי התובע עצמו הצהיר בסעיף 19 לכתב התביעה על נכונותו לשתף פעולה עם גורמי הרווחה, עם יחידת הסיוע ועם כל גורם מקצועי שבית המשפט ימצא לנכון למנות, ואף עתר בעצמו (בסעיף ד' לסעדים) להפניית הצדדים לקבלת תסקיר. משכך, אין כל מניעה, ואף מתחייב, כי ייערך תסקיר בטרם תתקבל כל הכרעה.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על כן מתבקש בית המשפט הנכבד להורות, בטרם תתקבל כל החלטה בתביעה, על כניסת גורמי הרווחה ועל עריכת תסקיר סעד מקיף על ידי עובד סוציאלי לסדרי דין, לרבות בחינת כשירותו ומסוגלותו ההורית של התובע, הרגלי צריכת האלכוהול שלו והשלכותיהם על הקטינים, וכן שמיעת עמדת הקטינים בהתאם לגילם ולבשלותם.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הנתבעת, מצידה, נכונה לשתף פעולה באופן מלא ומוחלט עם גורמי הרווחה, עם יחידת הסיוע ועם כל גורם מקצועי שבית המשפט ימצא לנכון למנות.</w:t>
      </w:r>
    </w:p>
    <w:p>
      <w:pPr>
        <w:bidi/>
        <w:spacing w:after="120" w:before="260" w:line="360" w:lineRule="auto"/>
        <w:jc w:val="start"/>
      </w:pPr>
      <w:r>
        <w:rPr>
          <w:rFonts w:ascii="David" w:cs="David" w:eastAsia="David" w:hAnsi="David"/>
          <w:b/>
          <w:bCs/>
          <w:sz w:val="26"/>
          <w:szCs w:val="26"/>
          <w:u w:val="single"/>
          <w:rtl/>
        </w:rPr>
        <w:t xml:space="preserve">ה. סיכום והסעדים המבוקשים</w:t>
      </w:r>
    </w:p>
    <w:p>
      <w:pPr>
        <w:bidi/>
        <w:spacing w:after="140" w:line="360" w:lineRule="auto"/>
        <w:jc w:val="both"/>
      </w:pPr>
      <w:r>
        <w:rPr>
          <w:rFonts w:ascii="David" w:cs="David" w:eastAsia="David" w:hAnsi="David"/>
          <w:b w:val="false"/>
          <w:bCs w:val="false"/>
          <w:sz w:val="24"/>
          <w:szCs w:val="24"/>
          <w:rtl/>
        </w:rPr>
        <w:t xml:space="preserve">לאור כל האמור לעיל, מתבקש בית המשפט הנכבד להורות כדלקמן:</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לדחות את התביעה לקביעת אחריות הורית משותפת, משמורת משותפת וזמני שהות שוויוניים, כמבוקש בכתב התביעה.</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להורות, בטרם תתקבל כל הכרעה, על עריכת תסקיר סעד מקיף ובדיקת כשירות ומסוגלות הורית של התובע, ולעכב כל הכרעה בתביעה עד לקבלת התסקיר, המלצות גורמי המקצוע ועמדתם.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לקבוע כי האחריות ההורית והמשמורת על הקטינים תיוותר בידי הנתבעת, וכי זמני השהות של הקטינים עם התובע ייקבעו באופן מדורג, מבוקר ומותאם, בהתאם להמלצות גורמי המקצוע ולטובת הקטינים.</w:t>
      </w:r>
    </w:p>
    <w:p>
      <w:pPr>
        <w:pStyle w:val="ListParagraph"/>
        <w:numPr>
          <w:ilvl w:val="0"/>
          <w:numId w:val="2"/>
        </w:numPr>
        <w:bidi/>
        <w:spacing w:after="140" w:line="360" w:lineRule="auto"/>
        <w:jc w:val="both"/>
      </w:pPr>
      <w:r>
        <w:rPr>
          <w:rFonts w:ascii="David" w:cs="David" w:eastAsia="David" w:hAnsi="David"/>
          <w:b w:val="false"/>
          <w:bCs w:val="false"/>
          <w:sz w:val="24"/>
          <w:szCs w:val="24"/>
          <w:rtl/>
        </w:rPr>
        <w:t xml:space="preserve">לחייב את התובע בהוצאות ההליך ובשכר טרחת עורך דין.</w:t>
      </w:r>
    </w:p>
    <w:p>
      <w:pPr>
        <w:bidi/>
        <w:spacing w:after="200" w:before="160" w:line="360" w:lineRule="auto"/>
        <w:jc w:val="both"/>
      </w:pPr>
      <w:r>
        <w:rPr>
          <w:rFonts w:ascii="David" w:cs="David" w:eastAsia="David" w:hAnsi="David"/>
          <w:b w:val="false"/>
          <w:bCs w:val="false"/>
          <w:sz w:val="24"/>
          <w:szCs w:val="24"/>
          <w:rtl/>
        </w:rPr>
        <w:t xml:space="preserve">הנתבעת שומרת על מלוא זכויותיה וטענותיה, לרבות הזכות להגיש תצהירים, מסמכים וראיות נוספים, ולהעלות כל טענה עובדתית ומשפטית נוספת בהתאם להתפתחות ההליך.</w:t>
      </w:r>
    </w:p>
    <w:p>
      <w:pPr>
        <w:bidi/>
        <w:spacing w:after="260" w:before="120" w:line="360" w:lineRule="auto"/>
        <w:jc w:val="both"/>
      </w:pPr>
      <w:r>
        <w:rPr>
          <w:rFonts w:ascii="David" w:cs="David" w:eastAsia="David" w:hAnsi="David"/>
          <w:b/>
          <w:bCs/>
          <w:sz w:val="24"/>
          <w:szCs w:val="24"/>
          <w:rtl/>
        </w:rPr>
        <w:t xml:space="preserve">כתב הגנה זה נתמך בתצהיר הנתבעת המצורף לו כחלק בלתי נפרד ממנו.</w:t>
      </w:r>
    </w:p>
    <w:p>
      <w:pPr>
        <w:bidi/>
        <w:spacing w:after="20" w:before="300"/>
        <w:jc w:val="end"/>
      </w:pPr>
      <w:r>
        <w:rPr>
          <w:rFonts w:ascii="David" w:cs="David" w:eastAsia="David" w:hAnsi="David"/>
          <w:b w:val="false"/>
          <w:bCs w:val="false"/>
          <w:sz w:val="24"/>
          <w:szCs w:val="24"/>
          <w:rtl/>
        </w:rPr>
        <w:t xml:space="preserve">_______________________</w:t>
      </w:r>
    </w:p>
    <w:p>
      <w:pPr>
        <w:bidi/>
        <w:jc w:val="end"/>
      </w:pPr>
      <w:r>
        <w:rPr>
          <w:rFonts w:ascii="David" w:cs="David" w:eastAsia="David" w:hAnsi="David"/>
          <w:b w:val="false"/>
          <w:bCs w:val="false"/>
          <w:sz w:val="24"/>
          <w:szCs w:val="24"/>
          <w:rtl/>
        </w:rPr>
        <w:t xml:space="preserve">_______________, עו"ד</w:t>
      </w:r>
    </w:p>
    <w:p>
      <w:pPr>
        <w:bidi/>
        <w:jc w:val="end"/>
      </w:pPr>
      <w:r>
        <w:rPr>
          <w:rFonts w:ascii="David" w:cs="David" w:eastAsia="David" w:hAnsi="David"/>
          <w:b w:val="false"/>
          <w:bCs w:val="false"/>
          <w:sz w:val="24"/>
          <w:szCs w:val="24"/>
          <w:rtl/>
        </w:rPr>
        <w:t xml:space="preserve">ב"כ הנתבעת</w:t>
      </w:r>
    </w:p>
    <w:p>
      <w:pPr>
        <w:bidi/>
        <w:spacing w:before="200"/>
        <w:jc w:val="start"/>
      </w:pPr>
      <w:r>
        <w:rPr>
          <w:rFonts w:ascii="David" w:cs="David" w:eastAsia="David" w:hAnsi="David"/>
          <w:b w:val="false"/>
          <w:bCs w:val="false"/>
          <w:sz w:val="24"/>
          <w:szCs w:val="24"/>
          <w:rtl/>
        </w:rPr>
        <w:t xml:space="preserve">תאריך: _______________</w:t>
      </w:r>
    </w:p>
    <w:p>
      <w:pPr>
        <w:pageBreakBefore/>
        <w:bidi/>
        <w:spacing w:after="40" w:before="400"/>
        <w:jc w:val="center"/>
      </w:pPr>
      <w:r>
        <w:rPr>
          <w:rFonts w:ascii="David" w:cs="David" w:eastAsia="David" w:hAnsi="David"/>
          <w:b/>
          <w:bCs/>
          <w:sz w:val="30"/>
          <w:szCs w:val="30"/>
          <w:u w:val="single"/>
          <w:rtl/>
        </w:rPr>
        <w:t xml:space="preserve">תצהיר</w:t>
      </w:r>
    </w:p>
    <w:p>
      <w:pPr>
        <w:bidi/>
        <w:spacing w:after="160" w:line="360" w:lineRule="auto"/>
        <w:jc w:val="both"/>
      </w:pPr>
      <w:r>
        <w:rPr>
          <w:rFonts w:ascii="David" w:cs="David" w:eastAsia="David" w:hAnsi="David"/>
          <w:b w:val="false"/>
          <w:bCs w:val="false"/>
          <w:sz w:val="24"/>
          <w:szCs w:val="24"/>
          <w:rtl/>
        </w:rPr>
        <w:t xml:space="preserve">אני הח"מ, מרי סיראנש, ת.ז. 324562511, לאחר שהוזהרתי כי עליי לומר את האמת וכי אהיה צפויה לעונשים הקבועים בחוק אם לא אעשה כן, מצהירה בזאת בכתב כדלקמן:</w:t>
      </w:r>
    </w:p>
    <w:p>
      <w:pPr>
        <w:pStyle w:val="ListParagraph"/>
        <w:numPr>
          <w:ilvl w:val="0"/>
          <w:numId w:val="3"/>
        </w:numPr>
        <w:bidi/>
        <w:spacing w:after="140" w:line="360" w:lineRule="auto"/>
        <w:jc w:val="both"/>
      </w:pPr>
      <w:r>
        <w:rPr>
          <w:rFonts w:ascii="David" w:cs="David" w:eastAsia="David" w:hAnsi="David"/>
          <w:b w:val="false"/>
          <w:bCs w:val="false"/>
          <w:sz w:val="24"/>
          <w:szCs w:val="24"/>
          <w:rtl/>
        </w:rPr>
        <w:t xml:space="preserve">אני הנתבעת בהליך שבכותרת ואם הקטינים, ונותנת תצהירי זה בתמיכה לכתב ההגנה מטעמי.</w:t>
      </w:r>
    </w:p>
    <w:p>
      <w:pPr>
        <w:pStyle w:val="ListParagraph"/>
        <w:numPr>
          <w:ilvl w:val="0"/>
          <w:numId w:val="3"/>
        </w:numPr>
        <w:bidi/>
        <w:spacing w:after="140" w:line="360" w:lineRule="auto"/>
        <w:jc w:val="both"/>
      </w:pPr>
      <w:r>
        <w:rPr>
          <w:rFonts w:ascii="David" w:cs="David" w:eastAsia="David" w:hAnsi="David"/>
          <w:b w:val="false"/>
          <w:bCs w:val="false"/>
          <w:sz w:val="24"/>
          <w:szCs w:val="24"/>
          <w:rtl/>
        </w:rPr>
        <w:t xml:space="preserve">כל העובדות המפורטות בכתב ההגנה שלעיל ידועות לי מידיעתי האישית, והן אמת. אני מאמתת אותן בתצהירי זה כאילו הובאו כאן במלואן.</w:t>
      </w:r>
    </w:p>
    <w:p>
      <w:pPr>
        <w:pStyle w:val="ListParagraph"/>
        <w:numPr>
          <w:ilvl w:val="0"/>
          <w:numId w:val="3"/>
        </w:numPr>
        <w:bidi/>
        <w:spacing w:after="140" w:line="360" w:lineRule="auto"/>
        <w:jc w:val="both"/>
      </w:pPr>
      <w:r>
        <w:rPr>
          <w:rFonts w:ascii="David" w:cs="David" w:eastAsia="David" w:hAnsi="David"/>
          <w:b w:val="false"/>
          <w:bCs w:val="false"/>
          <w:sz w:val="24"/>
          <w:szCs w:val="24"/>
          <w:rtl/>
        </w:rPr>
        <w:t xml:space="preserve">התובע אינו מעורב בטיפול היום-יומי בקטינים, אינו מכיר את הרגליהם ואת שגרת חייהם, אינו פוקד את מוסדות החינוך שלהם, ואינו נוטל חלק בעבודות הבית ובהכנת מזון לקטינים, כמפורט בכתב ההגנה.</w:t>
      </w:r>
    </w:p>
    <w:p>
      <w:pPr>
        <w:pStyle w:val="ListParagraph"/>
        <w:numPr>
          <w:ilvl w:val="0"/>
          <w:numId w:val="3"/>
        </w:numPr>
        <w:bidi/>
        <w:spacing w:after="140" w:line="360" w:lineRule="auto"/>
        <w:jc w:val="both"/>
      </w:pPr>
      <w:r>
        <w:rPr>
          <w:rFonts w:ascii="David" w:cs="David" w:eastAsia="David" w:hAnsi="David"/>
          <w:b w:val="false"/>
          <w:bCs w:val="false"/>
          <w:sz w:val="24"/>
          <w:szCs w:val="24"/>
          <w:rtl/>
        </w:rPr>
        <w:t xml:space="preserve">התובע צורך משקאות חריפים באופן יום-יומי, ומדי לילה מצוי מתחת למיטתו בקבוק משקה חריף, בעיקר ערק, כמפורט בכתב ההגנה.</w:t>
      </w:r>
    </w:p>
    <w:p>
      <w:pPr>
        <w:pStyle w:val="ListParagraph"/>
        <w:numPr>
          <w:ilvl w:val="0"/>
          <w:numId w:val="3"/>
        </w:numPr>
        <w:bidi/>
        <w:spacing w:after="140" w:line="360" w:lineRule="auto"/>
        <w:jc w:val="both"/>
      </w:pPr>
      <w:r>
        <w:rPr>
          <w:rFonts w:ascii="David" w:cs="David" w:eastAsia="David" w:hAnsi="David"/>
          <w:b w:val="false"/>
          <w:bCs w:val="false"/>
          <w:sz w:val="24"/>
          <w:szCs w:val="24"/>
          <w:rtl/>
        </w:rPr>
        <w:t xml:space="preserve">זה שמי, זו חתימתי, ותוכן תצהירי אמת.</w:t>
      </w:r>
    </w:p>
    <w:p>
      <w:pPr>
        <w:bidi/>
        <w:spacing w:after="20" w:before="300"/>
        <w:jc w:val="end"/>
      </w:pPr>
      <w:r>
        <w:rPr>
          <w:rFonts w:ascii="David" w:cs="David" w:eastAsia="David" w:hAnsi="David"/>
          <w:b w:val="false"/>
          <w:bCs w:val="false"/>
          <w:sz w:val="24"/>
          <w:szCs w:val="24"/>
          <w:rtl/>
        </w:rPr>
        <w:t xml:space="preserve">_______________________</w:t>
      </w:r>
    </w:p>
    <w:p>
      <w:pPr>
        <w:bidi/>
        <w:jc w:val="end"/>
      </w:pPr>
      <w:r>
        <w:rPr>
          <w:rFonts w:ascii="David" w:cs="David" w:eastAsia="David" w:hAnsi="David"/>
          <w:b w:val="false"/>
          <w:bCs w:val="false"/>
          <w:sz w:val="24"/>
          <w:szCs w:val="24"/>
          <w:rtl/>
        </w:rPr>
        <w:t xml:space="preserve">מרי סיראנש, המצהירה</w:t>
      </w:r>
    </w:p>
    <w:p>
      <w:pPr>
        <w:bidi/>
        <w:spacing w:after="100" w:before="300"/>
        <w:jc w:val="center"/>
      </w:pPr>
      <w:r>
        <w:rPr>
          <w:rFonts w:ascii="David" w:cs="David" w:eastAsia="David" w:hAnsi="David"/>
          <w:b/>
          <w:bCs/>
          <w:sz w:val="26"/>
          <w:szCs w:val="26"/>
          <w:u w:val="single"/>
          <w:rtl/>
        </w:rPr>
        <w:t xml:space="preserve">אישור</w:t>
      </w:r>
    </w:p>
    <w:p>
      <w:pPr>
        <w:bidi/>
        <w:spacing w:after="200" w:line="360" w:lineRule="auto"/>
        <w:jc w:val="both"/>
      </w:pPr>
      <w:r>
        <w:rPr>
          <w:rFonts w:ascii="David" w:cs="David" w:eastAsia="David" w:hAnsi="David"/>
          <w:b w:val="false"/>
          <w:bCs w:val="false"/>
          <w:sz w:val="24"/>
          <w:szCs w:val="24"/>
          <w:rtl/>
        </w:rPr>
        <w:t xml:space="preserve">הריני לאשר כי ביום _______________ הופיעה בפניי, _______________, עו"ד, במשרדי ברחוב _______________, גב' מרי סיראנש, שזיהתה עצמה באמצעות ת.ז. מס' 324562511 / המוכרת לי אישית, ולאחר שהזהרתיה כי עליה להצהיר את האמת וכי תהיה צפויה לעונשים הקבועים בחוק אם לא תעשה כן, אישרה את נכונות תצהירה דלעיל וחתמה עליו בפניי.</w:t>
      </w:r>
    </w:p>
    <w:p>
      <w:pPr>
        <w:bidi/>
        <w:spacing w:after="20" w:before="240"/>
        <w:jc w:val="end"/>
      </w:pPr>
      <w:r>
        <w:rPr>
          <w:rFonts w:ascii="David" w:cs="David" w:eastAsia="David" w:hAnsi="David"/>
          <w:b w:val="false"/>
          <w:bCs w:val="false"/>
          <w:sz w:val="24"/>
          <w:szCs w:val="24"/>
          <w:rtl/>
        </w:rPr>
        <w:t xml:space="preserve">_______________________</w:t>
      </w:r>
    </w:p>
    <w:p>
      <w:pPr>
        <w:bidi/>
        <w:jc w:val="end"/>
      </w:pPr>
      <w:r>
        <w:rPr>
          <w:rFonts w:ascii="David" w:cs="David" w:eastAsia="David" w:hAnsi="David"/>
          <w:b w:val="false"/>
          <w:bCs w:val="false"/>
          <w:sz w:val="24"/>
          <w:szCs w:val="24"/>
          <w:rtl/>
        </w:rPr>
        <w:t xml:space="preserve">_______________, עו"ד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600" w:hanging="360"/>
      </w:pPr>
    </w:lvl>
  </w:abstractNum>
  <w:abstractNum w:abstractNumId="3" w15:restartNumberingAfterBreak="0">
    <w:multiLevelType w:val="hybridMultilevel"/>
    <w:lvl w:ilvl="0" w15:tentative="1">
      <w:start w:val="1"/>
      <w:numFmt w:val="decimal"/>
      <w:suff w:val="tab"/>
      <w:lvlText w:val="%1."/>
      <w:lvlJc w:val="star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 DOCX</dc:creator>
  <cp:lastModifiedBy>Un-named</cp:lastModifiedBy>
  <cp:revision>1</cp:revision>
  <dcterms:created xsi:type="dcterms:W3CDTF">2026-08-05T14:29:26.553Z</dcterms:created>
  <dcterms:modified xsi:type="dcterms:W3CDTF">2026-08-05T14:29:26.564Z</dcterms:modified>
</cp:coreProperties>
</file>

<file path=docProps/custom.xml><?xml version="1.0" encoding="utf-8"?>
<Properties xmlns="http://schemas.openxmlformats.org/officeDocument/2006/custom-properties" xmlns:vt="http://schemas.openxmlformats.org/officeDocument/2006/docPropsVTypes"/>
</file>