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10.09.2026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פיצויי פיטורים, גמול שעות נוספות, פדיון חופשה, דמי חגים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63,120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יליד 16.5.2006,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תלושי השכר מצורפים כנספח א'.</w:t>
      </w:r>
    </w:p>
    <w:p>
      <w:pPr>
        <w:pStyle w:val="ListParagraph"/>
        <w:numPr>
          <w:ilvl w:val="0"/>
          <w:numId w:val="2"/>
        </w:numPr>
        <w:bidi/>
        <w:spacing w:after="70" w:before="0" w:line="276" w:lineRule="auto"/>
        <w:jc w:val="both"/>
      </w:pPr>
      <w:r>
        <w:rPr>
          <w:rFonts w:ascii="David" w:cs="David" w:eastAsia="David" w:hAnsi="David"/>
          <w:sz w:val="23"/>
          <w:szCs w:val="23"/>
          <w:rtl/>
        </w:rPr>
        <w:t xml:space="preserve">במרבית תקופת העבודה היה התובע קטין, והעסקתו כפופה להוראות חוק עבודת הנוער, התשי"ג-1953.</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הממוצע של התובע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7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ערכה לתובע גמר חשבון ולא שילמה לו דבר בגין זכויותיו. פניות התובע אליה נענו בהתעלמות מוחלטת.</w:t>
      </w:r>
    </w:p>
    <w:p>
      <w:pPr>
        <w:pStyle w:val="ListParagraph"/>
        <w:numPr>
          <w:ilvl w:val="0"/>
          <w:numId w:val="2"/>
        </w:numPr>
        <w:bidi/>
        <w:spacing w:after="70" w:before="0" w:line="276" w:lineRule="auto"/>
        <w:jc w:val="both"/>
      </w:pPr>
      <w:r>
        <w:rPr>
          <w:rFonts w:ascii="David" w:cs="David" w:eastAsia="David" w:hAnsi="David"/>
          <w:sz w:val="23"/>
          <w:szCs w:val="23"/>
          <w:rtl/>
        </w:rPr>
        <w:t xml:space="preserve">ביום 13.7.2026 שלח ב"כ התובע לנתבעת מכתב התראה בדואר רשום (נספח ב'). הנתבעת לא השיבה ולא שילמה. תלושי השכר הופקו לראשונה ביום 3.8.2026, כעולה מגוף התלושים עצמם.</w:t>
      </w:r>
    </w:p>
    <w:p>
      <w:pPr>
        <w:pStyle w:val="ListParagraph"/>
        <w:numPr>
          <w:ilvl w:val="0"/>
          <w:numId w:val="2"/>
        </w:numPr>
        <w:bidi/>
        <w:spacing w:after="70" w:before="0" w:line="276" w:lineRule="auto"/>
        <w:jc w:val="both"/>
      </w:pPr>
      <w:r>
        <w:rPr>
          <w:rFonts w:ascii="David" w:cs="David" w:eastAsia="David" w:hAnsi="David"/>
          <w:sz w:val="23"/>
          <w:szCs w:val="23"/>
          <w:rtl/>
        </w:rPr>
        <w:t xml:space="preserve">מרישומי הנתבעת עצמה עולה כי התובע הועסק דרך קבע במשמרות שחרגו משמונה שעות, ובחלק מהחודשים (5-6/2023, 12/2023, 1/2024) במשמרות של 12-13 שעות בממוצע. בפועל הועסק התובע במשמרות בנות 11-13 שעות.</w:t>
      </w:r>
    </w:p>
    <w:p>
      <w:pPr>
        <w:pStyle w:val="ListParagraph"/>
        <w:numPr>
          <w:ilvl w:val="0"/>
          <w:numId w:val="2"/>
        </w:numPr>
        <w:bidi/>
        <w:spacing w:after="70" w:before="0" w:line="276" w:lineRule="auto"/>
        <w:jc w:val="both"/>
      </w:pPr>
      <w:r>
        <w:rPr>
          <w:rFonts w:ascii="David" w:cs="David" w:eastAsia="David" w:hAnsi="David"/>
          <w:sz w:val="23"/>
          <w:szCs w:val="23"/>
          <w:rtl/>
        </w:rPr>
        <w:t xml:space="preserve">סעיף 20 לחוק עבודת הנוער אוסר להעסיק נער מעבר לשמונה שעות ביום, וסעיף 16 לחוק שעות עבודה ומנוחה, התשי"א-1951, מחייב גמול של 125% ו-150%. הנתבעת לא שילמה גמול כלשהו.</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70" w:before="0" w:line="276" w:lineRule="auto"/>
        <w:jc w:val="both"/>
      </w:pPr>
      <w:r>
        <w:rPr>
          <w:rFonts w:ascii="David" w:cs="David" w:eastAsia="David" w:hAnsi="David"/>
          <w:sz w:val="23"/>
          <w:szCs w:val="23"/>
          <w:rtl/>
        </w:rPr>
        <w:t xml:space="preserve">פיצויי פיטורים לא שולמו לתובע כלל, אף שהועסק למעלה משנתיים וסיום עבודתו מזכה בפיצויים מכוח החוק.</w:t>
      </w:r>
    </w:p>
    <w:p>
      <w:pPr>
        <w:pStyle w:val="ListParagraph"/>
        <w:numPr>
          <w:ilvl w:val="0"/>
          <w:numId w:val="2"/>
        </w:numPr>
        <w:bidi/>
        <w:spacing w:after="70" w:before="0" w:line="276" w:lineRule="auto"/>
        <w:jc w:val="both"/>
      </w:pP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היא לא נפדתה, בניגוד לסעיף 13 לחוק חופשה שנתית, התשי"א-1951.</w:t>
      </w:r>
    </w:p>
    <w:p>
      <w:pPr>
        <w:pStyle w:val="ListParagraph"/>
        <w:numPr>
          <w:ilvl w:val="0"/>
          <w:numId w:val="2"/>
        </w:numPr>
        <w:bidi/>
        <w:spacing w:after="70" w:before="0" w:line="276" w:lineRule="auto"/>
        <w:jc w:val="both"/>
      </w:pPr>
      <w:r>
        <w:rPr>
          <w:rFonts w:ascii="David" w:cs="David" w:eastAsia="David" w:hAnsi="David"/>
          <w:sz w:val="23"/>
          <w:szCs w:val="23"/>
          <w:rtl/>
        </w:rPr>
        <w:t xml:space="preserve">כעובד שעתי בעל ותק העולה על שלושה חודשים זכאי היה התובע לתשעה ימי חג בשנה מכוח צו ההרחבה הכללי במשק (הסכם המסגרת משנת 2000). לא שולם דבר.</w:t>
      </w:r>
    </w:p>
    <w:p>
      <w:pPr>
        <w:pStyle w:val="ListParagraph"/>
        <w:numPr>
          <w:ilvl w:val="0"/>
          <w:numId w:val="2"/>
        </w:numPr>
        <w:bidi/>
        <w:spacing w:after="70" w:before="0" w:line="276" w:lineRule="auto"/>
        <w:jc w:val="both"/>
      </w:pP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לפיצויי פיטורים בסך </w:t>
      </w:r>
      <w:r>
        <w:rPr>
          <w:rFonts w:ascii="David" w:cs="David" w:eastAsia="David" w:hAnsi="David"/>
          <w:b/>
          <w:bCs/>
          <w:sz w:val="23"/>
          <w:szCs w:val="23"/>
          <w:rtl/>
        </w:rPr>
        <w:t xml:space="preserve">8,458 ₪</w:t>
      </w:r>
      <w:r>
        <w:rPr>
          <w:rFonts w:ascii="David" w:cs="David" w:eastAsia="David" w:hAnsi="David"/>
          <w:sz w:val="23"/>
          <w:szCs w:val="23"/>
          <w:rtl/>
        </w:rPr>
        <w:t xml:space="preserve">, לפי 3,500 ₪ × 29/12 חודשי עבודה.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לגמול שעות נוספות בסך </w:t>
      </w:r>
      <w:r>
        <w:rPr>
          <w:rFonts w:ascii="David" w:cs="David" w:eastAsia="David" w:hAnsi="David"/>
          <w:b/>
          <w:bCs/>
          <w:sz w:val="23"/>
          <w:szCs w:val="23"/>
          <w:rtl/>
        </w:rPr>
        <w:t xml:space="preserve">25,175 ₪</w:t>
      </w:r>
      <w:r>
        <w:rPr>
          <w:rFonts w:ascii="David" w:cs="David" w:eastAsia="David" w:hAnsi="David"/>
          <w:sz w:val="23"/>
          <w:szCs w:val="23"/>
          <w:rtl/>
        </w:rPr>
        <w:t xml:space="preserve">: 281 משמרות × 3 שעות נוספות למשמרת (שתיים ב-125% ואחת ב-150%, 120 ₪ למשמרת לפי 30 ₪ לשעה) = 33,720 ₪, בניכוי 8,545 ₪ ששולמו כשכר יסוד שעתי.</w:t>
      </w:r>
    </w:p>
    <w:p>
      <w:pPr>
        <w:pStyle w:val="ListParagraph"/>
        <w:numPr>
          <w:ilvl w:val="0"/>
          <w:numId w:val="2"/>
        </w:numPr>
        <w:bidi/>
        <w:spacing w:after="70" w:before="0" w:line="276" w:lineRule="auto"/>
        <w:jc w:val="both"/>
      </w:pPr>
      <w:r>
        <w:rPr>
          <w:rFonts w:ascii="David" w:cs="David" w:eastAsia="David" w:hAnsi="David"/>
          <w:sz w:val="23"/>
          <w:szCs w:val="23"/>
          <w:rtl/>
        </w:rPr>
        <w:t xml:space="preserve">החישוב נופל מחזקת 15 השעות הנוספות השבועיות שבסעיף 26ב לחוק הגנת השכר. לחלופין, ולכל הפחות, לפי רישומי הנתבעת עצמה: 475 שעות נוספות, ובסה"כ 11,049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לפדיון חופשה בסך </w:t>
      </w:r>
      <w:r>
        <w:rPr>
          <w:rFonts w:ascii="David" w:cs="David" w:eastAsia="David" w:hAnsi="David"/>
          <w:b/>
          <w:bCs/>
          <w:sz w:val="23"/>
          <w:szCs w:val="23"/>
          <w:rtl/>
        </w:rPr>
        <w:t xml:space="preserve">6,909 ₪</w:t>
      </w:r>
      <w:r>
        <w:rPr>
          <w:rFonts w:ascii="David" w:cs="David" w:eastAsia="David" w:hAnsi="David"/>
          <w:sz w:val="23"/>
          <w:szCs w:val="23"/>
          <w:rtl/>
        </w:rPr>
        <w:t xml:space="preserve">, לפי 21 ימים (18 ימים לשנה, באופן יחסי לימי העבודה בפועל) × 329 ₪, שכרו היומי הממוצע לפי סעיף 10 לחוק חופשה שנתית (92,533 ₪ שכר לכל התקופה / 281 ימי עבודה).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לדמי חגים בסך </w:t>
      </w:r>
      <w:r>
        <w:rPr>
          <w:rFonts w:ascii="David" w:cs="David" w:eastAsia="David" w:hAnsi="David"/>
          <w:b/>
          <w:bCs/>
          <w:sz w:val="23"/>
          <w:szCs w:val="23"/>
          <w:rtl/>
        </w:rPr>
        <w:t xml:space="preserve">2,578 ₪</w:t>
      </w:r>
      <w:r>
        <w:rPr>
          <w:rFonts w:ascii="David" w:cs="David" w:eastAsia="David" w:hAnsi="David"/>
          <w:sz w:val="23"/>
          <w:szCs w:val="23"/>
          <w:rtl/>
        </w:rPr>
        <w:t xml:space="preserve">, לפי 9 ימים × 286.44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 לדוגמה בסך </w:t>
      </w:r>
      <w:r>
        <w:rPr>
          <w:rFonts w:ascii="David" w:cs="David" w:eastAsia="David" w:hAnsi="David"/>
          <w:b/>
          <w:bCs/>
          <w:sz w:val="23"/>
          <w:szCs w:val="23"/>
          <w:rtl/>
        </w:rPr>
        <w:t xml:space="preserve">20,000 ₪</w:t>
      </w:r>
      <w:r>
        <w:rPr>
          <w:rFonts w:ascii="David" w:cs="David" w:eastAsia="David" w:hAnsi="David"/>
          <w:sz w:val="23"/>
          <w:szCs w:val="23"/>
          <w:rtl/>
        </w:rPr>
        <w:t xml:space="preserve">: 10,000 ₪ בגין אי-מסירת הודעה על תנאי עבודה לעובד קטין, ו-10,000 ₪ בגין אי-מסירת 27 תלושי שכר לאורך כל תקופת העבודה, אשר הופקו לראשונה שנתיים לאחר סיומה.</w:t>
      </w:r>
    </w:p>
    <w:p>
      <w:pPr>
        <w:pStyle w:val="ListParagraph"/>
        <w:numPr>
          <w:ilvl w:val="0"/>
          <w:numId w:val="2"/>
        </w:numPr>
        <w:bidi/>
        <w:spacing w:after="70" w:before="0" w:line="276" w:lineRule="auto"/>
        <w:jc w:val="both"/>
      </w:pPr>
      <w:r>
        <w:rPr>
          <w:rFonts w:ascii="David" w:cs="David" w:eastAsia="David" w:hAnsi="David"/>
          <w:b/>
          <w:bCs/>
          <w:sz w:val="23"/>
          <w:szCs w:val="23"/>
          <w:rtl/>
        </w:rPr>
        <w:t xml:space="preserve">סיכום. </w:t>
      </w:r>
      <w:r>
        <w:rPr>
          <w:rFonts w:ascii="David" w:cs="David" w:eastAsia="David" w:hAnsi="David"/>
          <w:sz w:val="23"/>
          <w:szCs w:val="23"/>
          <w:rtl/>
        </w:rPr>
        <w:t xml:space="preserve">על הנתבעת לשלם לתובע את הסך </w:t>
      </w:r>
      <w:r>
        <w:rPr>
          <w:rFonts w:ascii="David" w:cs="David" w:eastAsia="David" w:hAnsi="David"/>
          <w:b/>
          <w:bCs/>
          <w:sz w:val="23"/>
          <w:szCs w:val="23"/>
          <w:rtl/>
        </w:rPr>
        <w:t xml:space="preserve">63,120 ₪</w:t>
      </w:r>
      <w:r>
        <w:rPr>
          <w:rFonts w:ascii="David" w:cs="David" w:eastAsia="David" w:hAnsi="David"/>
          <w:sz w:val="23"/>
          <w:szCs w:val="23"/>
          <w:rtl/>
        </w:rPr>
        <w:t xml:space="preserve">, בצירוף הפרשי הצמדה וריבית כחוק ממועד היווצרות כל אחד מהחיובים ועד התשלום בפועל.</w:t>
      </w:r>
    </w:p>
    <w:p>
      <w:pPr>
        <w:pStyle w:val="ListParagraph"/>
        <w:numPr>
          <w:ilvl w:val="0"/>
          <w:numId w:val="2"/>
        </w:numPr>
        <w:bidi/>
        <w:spacing w:after="70" w:before="0" w:line="276" w:lineRule="auto"/>
        <w:jc w:val="both"/>
      </w:pPr>
      <w:r>
        <w:rPr>
          <w:rFonts w:ascii="David" w:cs="David" w:eastAsia="David" w:hAnsi="David"/>
          <w:sz w:val="23"/>
          <w:szCs w:val="23"/>
          <w:rtl/>
        </w:rPr>
        <w:t xml:space="preserve">לבית דין נכבד זה הסמכות העניינית מכוח סעיף 24(א)(1) לחוק בית הדין לעבודה, התשכ"ט-1969, והסמכות המקומית בהיות מקום ביצוע העבודה באזור שיפוטו.</w:t>
      </w:r>
    </w:p>
    <w:p>
      <w:pPr>
        <w:pStyle w:val="ListParagraph"/>
        <w:numPr>
          <w:ilvl w:val="0"/>
          <w:numId w:val="2"/>
        </w:numPr>
        <w:bidi/>
        <w:spacing w:after="70" w:before="0" w:line="276" w:lineRule="auto"/>
        <w:jc w:val="both"/>
      </w:pPr>
      <w:r>
        <w:rPr>
          <w:rFonts w:ascii="David" w:cs="David" w:eastAsia="David" w:hAnsi="David"/>
          <w:sz w:val="23"/>
          <w:szCs w:val="23"/>
          <w:rtl/>
        </w:rPr>
        <w:t xml:space="preserve">אין באמור לעיל כדי למצות או לגרוע מכל טענה או זכות העומדת לתובע על פי כל דין, הסכם, נוהג או צו הרחבה, והתובע שומר על זכותו לתקן את כתב התביעה עם קבלת מלוא המסמכים מהנתבעת.</w:t>
      </w:r>
    </w:p>
    <w:p>
      <w:pPr>
        <w:pStyle w:val="ListParagraph"/>
        <w:numPr>
          <w:ilvl w:val="0"/>
          <w:numId w:val="2"/>
        </w:numPr>
        <w:bidi/>
        <w:spacing w:after="70" w:before="0" w:line="276" w:lineRule="auto"/>
        <w:jc w:val="both"/>
      </w:pPr>
      <w:r>
        <w:rPr>
          <w:rFonts w:ascii="David" w:cs="David" w:eastAsia="David" w:hAnsi="David"/>
          <w:sz w:val="23"/>
          <w:szCs w:val="23"/>
          <w:rtl/>
        </w:rPr>
        <w:t xml:space="preserve">כמו כן, על הנתבעת לשאת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2026-09-10T07:07:18.659Z</dcterms:created>
  <dcterms:modified xsi:type="dcterms:W3CDTF">2026-09-10T07:07:18.681Z</dcterms:modified>
</cp:coreProperties>
</file>

<file path=docProps/custom.xml><?xml version="1.0" encoding="utf-8"?>
<Properties xmlns="http://schemas.openxmlformats.org/officeDocument/2006/custom-properties" xmlns:vt="http://schemas.openxmlformats.org/officeDocument/2006/docPropsVTypes"/>
</file>