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0" w:line="276" w:lineRule="auto"/>
        <w:jc w:val="right"/>
      </w:pPr>
      <w:r>
        <w:rPr>
          <w:rFonts w:ascii="David" w:hAnsi="David" w:cs="David" w:eastAsia="David"/>
          <w:b/>
          <w:sz w:val="26"/>
          <w:u w:val="none"/>
          <w:rtl/>
          <w:bCs/>
          <w:szCs w:val="26"/>
        </w:rPr>
        <w:t>בבית המשפט לענייני משפחה בפתח תקווה</w:t>
      </w:r>
    </w:p>
    <w:p>
      <w:pPr>
        <w:bidi/>
        <w:spacing w:after="0" w:line="276" w:lineRule="auto"/>
        <w:jc w:val="right"/>
      </w:pPr>
      <w:r>
        <w:rPr>
          <w:rFonts w:ascii="David" w:hAnsi="David" w:cs="David" w:eastAsia="David"/>
          <w:b/>
          <w:sz w:val="26"/>
          <w:u w:val="none"/>
          <w:rtl/>
          <w:bCs/>
          <w:szCs w:val="26"/>
        </w:rPr>
        <w:t>תיק: 83468-05-26</w:t>
      </w:r>
    </w:p>
    <w:p>
      <w:pPr>
        <w:bidi/>
        <w:spacing w:after="120" w:line="276" w:lineRule="auto"/>
        <w:jc w:val="right"/>
      </w:pPr>
      <w:r>
        <w:rPr>
          <w:rFonts w:ascii="David" w:hAnsi="David" w:cs="David" w:eastAsia="David"/>
          <w:b w:val="0"/>
          <w:sz w:val="24"/>
          <w:u w:val="none"/>
          <w:rtl/>
          <w:szCs w:val="24"/>
        </w:rPr>
        <w:t>בפני כב' השופט אורן אליעז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438"/>
        <w:gridCol w:w="6633"/>
      </w:tblGrid>
      <w:tr>
        <w:tc>
          <w:tcPr>
            <w:tcW w:type="dxa" w:w="2438"/>
          </w:tcPr>
          <w:p>
            <w:pPr>
              <w:bidi/>
              <w:spacing w:after="0" w:line="276" w:lineRule="auto"/>
              <w:jc w:val="right"/>
            </w:pPr>
            <w:r>
              <w:rPr>
                <w:rFonts w:ascii="David" w:hAnsi="David" w:cs="David" w:eastAsia="David"/>
                <w:b/>
                <w:sz w:val="24"/>
                <w:u w:val="none"/>
                <w:rtl/>
                <w:bCs/>
                <w:szCs w:val="24"/>
              </w:rPr>
              <w:t>בעניין עזבון המנוח:</w:t>
            </w:r>
          </w:p>
        </w:tc>
        <w:tc>
          <w:tcPr>
            <w:tcW w:type="dxa" w:w="6633"/>
          </w:tcPr>
          <w:p>
            <w:pPr>
              <w:bidi/>
              <w:spacing w:after="0" w:line="276" w:lineRule="auto"/>
              <w:jc w:val="right"/>
            </w:pPr>
            <w:r>
              <w:rPr>
                <w:rFonts w:ascii="David" w:hAnsi="David" w:cs="David" w:eastAsia="David"/>
                <w:b/>
                <w:sz w:val="24"/>
                <w:u w:val="none"/>
                <w:rtl/>
                <w:bCs/>
                <w:szCs w:val="24"/>
              </w:rPr>
              <w:t>______________</w:t>
            </w:r>
          </w:p>
        </w:tc>
      </w:tr>
      <w:tr>
        <w:tc>
          <w:tcPr>
            <w:tcW w:type="dxa" w:w="2438"/>
          </w:tcPr>
          <w:p>
            <w:pPr>
              <w:bidi/>
              <w:spacing w:after="0" w:line="276" w:lineRule="auto"/>
              <w:jc w:val="right"/>
            </w:pPr>
            <w:r>
              <w:rPr>
                <w:rFonts w:ascii="David" w:hAnsi="David" w:cs="David" w:eastAsia="David"/>
                <w:b/>
                <w:sz w:val="24"/>
                <w:u w:val="none"/>
                <w:rtl/>
                <w:bCs/>
                <w:szCs w:val="24"/>
              </w:rPr>
              <w:t>המבקשת:</w:t>
            </w:r>
          </w:p>
        </w:tc>
        <w:tc>
          <w:tcPr>
            <w:tcW w:type="dxa" w:w="6633"/>
          </w:tcPr>
          <w:p>
            <w:pPr>
              <w:bidi/>
              <w:spacing w:after="0" w:line="276" w:lineRule="auto"/>
              <w:jc w:val="right"/>
            </w:pPr>
            <w:r>
              <w:rPr>
                <w:rFonts w:ascii="David" w:hAnsi="David" w:cs="David" w:eastAsia="David"/>
                <w:b/>
                <w:sz w:val="24"/>
                <w:u w:val="none"/>
                <w:rtl/>
                <w:bCs/>
                <w:szCs w:val="24"/>
              </w:rPr>
              <w:t>______________</w:t>
            </w:r>
          </w:p>
          <w:p>
            <w:pPr>
              <w:bidi/>
              <w:spacing w:after="0" w:line="276" w:lineRule="auto"/>
              <w:jc w:val="right"/>
            </w:pPr>
            <w:r>
              <w:rPr>
                <w:rFonts w:ascii="David" w:hAnsi="David" w:cs="David" w:eastAsia="David"/>
                <w:b w:val="0"/>
                <w:sz w:val="24"/>
                <w:u w:val="none"/>
                <w:rtl/>
                <w:szCs w:val="24"/>
              </w:rPr>
              <w:t>ע"י ב"כ עו"ד סולומון טקה</w:t>
            </w:r>
          </w:p>
          <w:p>
            <w:pPr>
              <w:bidi/>
              <w:spacing w:after="0" w:line="276" w:lineRule="auto"/>
              <w:jc w:val="right"/>
            </w:pPr>
            <w:r>
              <w:rPr>
                <w:rFonts w:ascii="David" w:hAnsi="David" w:cs="David" w:eastAsia="David"/>
                <w:b w:val="0"/>
                <w:sz w:val="24"/>
                <w:u w:val="none"/>
                <w:rtl/>
                <w:szCs w:val="24"/>
              </w:rPr>
              <w:t>מרח' פינסקר 21, נתניה</w:t>
            </w:r>
          </w:p>
          <w:p>
            <w:pPr>
              <w:bidi/>
              <w:spacing w:after="0" w:line="276" w:lineRule="auto"/>
              <w:jc w:val="right"/>
            </w:pPr>
            <w:r>
              <w:rPr>
                <w:rFonts w:ascii="David" w:hAnsi="David" w:cs="David" w:eastAsia="David"/>
                <w:b w:val="0"/>
                <w:sz w:val="24"/>
                <w:u w:val="none"/>
                <w:rtl/>
                <w:szCs w:val="24"/>
              </w:rPr>
              <w:t>טל': 052-3700918 ; דוא"ל: solomontekadv@gmail.com</w:t>
            </w:r>
          </w:p>
        </w:tc>
      </w:tr>
    </w:tbl>
    <w:p>
      <w:pPr>
        <w:bidi/>
        <w:spacing w:after="40" w:line="144" w:lineRule="auto"/>
        <w:jc w:val="right"/>
      </w:pPr>
    </w:p>
    <w:p>
      <w:pPr>
        <w:bidi/>
        <w:spacing w:after="40" w:line="276" w:lineRule="auto"/>
        <w:jc w:val="center"/>
      </w:pPr>
      <w:r>
        <w:rPr>
          <w:rFonts w:ascii="David" w:hAnsi="David" w:cs="David" w:eastAsia="David"/>
          <w:b/>
          <w:sz w:val="24"/>
          <w:u w:val="none"/>
          <w:rtl/>
          <w:bCs/>
          <w:szCs w:val="24"/>
        </w:rPr>
        <w:t>- נ ג ד -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438"/>
        <w:gridCol w:w="6633"/>
      </w:tblGrid>
      <w:tr>
        <w:tc>
          <w:tcPr>
            <w:tcW w:type="dxa" w:w="2438"/>
          </w:tcPr>
          <w:p>
            <w:pPr>
              <w:bidi/>
              <w:spacing w:after="0" w:line="276" w:lineRule="auto"/>
              <w:jc w:val="right"/>
            </w:pPr>
            <w:r>
              <w:rPr>
                <w:rFonts w:ascii="David" w:hAnsi="David" w:cs="David" w:eastAsia="David"/>
                <w:b/>
                <w:sz w:val="24"/>
                <w:u w:val="none"/>
                <w:rtl/>
                <w:bCs/>
                <w:szCs w:val="24"/>
              </w:rPr>
              <w:t>המשיב:</w:t>
            </w:r>
          </w:p>
        </w:tc>
        <w:tc>
          <w:tcPr>
            <w:tcW w:type="dxa" w:w="6633"/>
          </w:tcPr>
          <w:p>
            <w:pPr>
              <w:bidi/>
              <w:spacing w:after="0" w:line="276" w:lineRule="auto"/>
              <w:jc w:val="right"/>
            </w:pPr>
            <w:r>
              <w:rPr>
                <w:rFonts w:ascii="David" w:hAnsi="David" w:cs="David" w:eastAsia="David"/>
                <w:b/>
                <w:sz w:val="24"/>
                <w:u w:val="none"/>
                <w:rtl/>
                <w:bCs/>
                <w:szCs w:val="24"/>
              </w:rPr>
              <w:t>האפוטרופוס הכללי</w:t>
            </w:r>
          </w:p>
          <w:p>
            <w:pPr>
              <w:bidi/>
              <w:spacing w:after="0" w:line="276" w:lineRule="auto"/>
              <w:jc w:val="right"/>
            </w:pPr>
            <w:r>
              <w:rPr>
                <w:rFonts w:ascii="David" w:hAnsi="David" w:cs="David" w:eastAsia="David"/>
                <w:b w:val="0"/>
                <w:sz w:val="24"/>
                <w:u w:val="none"/>
                <w:rtl/>
                <w:szCs w:val="24"/>
              </w:rPr>
              <w:t>באמצעות פרקליטות מחוז תל אביב מרכז</w:t>
            </w:r>
          </w:p>
        </w:tc>
      </w:tr>
    </w:tbl>
    <w:p>
      <w:pPr>
        <w:bidi/>
        <w:spacing w:after="120" w:line="144" w:lineRule="auto"/>
        <w:jc w:val="right"/>
      </w:pPr>
    </w:p>
    <w:p>
      <w:pPr>
        <w:bidi/>
        <w:spacing w:after="80" w:line="276" w:lineRule="auto"/>
        <w:jc w:val="center"/>
      </w:pPr>
      <w:r>
        <w:rPr>
          <w:rFonts w:ascii="David" w:hAnsi="David" w:cs="David" w:eastAsia="David"/>
          <w:b/>
          <w:sz w:val="30"/>
          <w:u w:val="single"/>
          <w:rtl/>
          <w:bCs/>
          <w:szCs w:val="30"/>
        </w:rPr>
        <w:t>בקשה לקביעת מועד דיון</w:t>
      </w:r>
    </w:p>
    <w:p>
      <w:pPr>
        <w:bidi/>
        <w:spacing w:after="120" w:line="276" w:lineRule="auto"/>
        <w:jc w:val="center"/>
      </w:pPr>
      <w:r>
        <w:rPr>
          <w:rFonts w:ascii="David" w:hAnsi="David" w:cs="David" w:eastAsia="David"/>
          <w:b w:val="0"/>
          <w:sz w:val="24"/>
          <w:u w:val="none"/>
          <w:rtl/>
          <w:szCs w:val="24"/>
        </w:rPr>
        <w:t>(בהתאם להחלטת בית המשפט הנכבד מיום 06.08.2026 בבקשה 1)</w:t>
      </w:r>
    </w:p>
    <w:p>
      <w:pPr>
        <w:bidi/>
        <w:spacing w:after="120" w:line="276" w:lineRule="auto"/>
        <w:jc w:val="right"/>
      </w:pPr>
      <w:r>
        <w:rPr>
          <w:rFonts w:ascii="David" w:hAnsi="David" w:cs="David" w:eastAsia="David"/>
          <w:b w:val="0"/>
          <w:sz w:val="24"/>
          <w:u w:val="none"/>
          <w:rtl/>
          <w:szCs w:val="24"/>
        </w:rPr>
        <w:t>בית המשפט הנכבד מתבקש לקבוע את התיק לדיון, בהתאם להחלטתו מיום 06.08.2026. ואלה הנימוקים:</w:t>
      </w:r>
    </w:p>
    <w:p>
      <w:pPr>
        <w:bidi/>
        <w:spacing w:after="80" w:line="276" w:lineRule="auto"/>
        <w:ind w:right="510" w:hanging="510"/>
        <w:jc w:val="both"/>
      </w:pPr>
      <w:r>
        <w:rPr>
          <w:rFonts w:ascii="David" w:hAnsi="David" w:cs="David" w:eastAsia="David"/>
          <w:b w:val="0"/>
          <w:sz w:val="24"/>
          <w:u w:val="none"/>
          <w:rtl/>
          <w:szCs w:val="24"/>
        </w:rPr>
        <w:t>1.</w:t>
        <w:tab/>
      </w:r>
      <w:r>
        <w:rPr>
          <w:rFonts w:ascii="David" w:hAnsi="David" w:cs="David" w:eastAsia="David"/>
          <w:b w:val="0"/>
          <w:sz w:val="24"/>
          <w:u w:val="none"/>
          <w:rtl/>
          <w:szCs w:val="24"/>
        </w:rPr>
        <w:t>ביום 28.5.2026 הוגשה בקשת המבקשת, וביום 7.6.2026 הומצאה למשיב עם החלטה להגיב בתוך 30 ימים. המשיב לא הגיב.</w:t>
      </w:r>
    </w:p>
    <w:p>
      <w:pPr>
        <w:bidi/>
        <w:spacing w:after="80" w:line="276" w:lineRule="auto"/>
        <w:ind w:right="510" w:hanging="510"/>
        <w:jc w:val="both"/>
      </w:pPr>
      <w:r>
        <w:rPr>
          <w:rFonts w:ascii="David" w:hAnsi="David" w:cs="David" w:eastAsia="David"/>
          <w:b w:val="0"/>
          <w:sz w:val="24"/>
          <w:u w:val="none"/>
          <w:rtl/>
          <w:szCs w:val="24"/>
        </w:rPr>
        <w:t>2.</w:t>
        <w:tab/>
      </w:r>
      <w:r>
        <w:rPr>
          <w:rFonts w:ascii="David" w:hAnsi="David" w:cs="David" w:eastAsia="David"/>
          <w:b w:val="0"/>
          <w:sz w:val="24"/>
          <w:u w:val="none"/>
          <w:rtl/>
          <w:szCs w:val="24"/>
        </w:rPr>
        <w:t xml:space="preserve">בהחלטה מיום 06.08.2026 (בבקשה 1) נקבע: </w:t>
      </w:r>
      <w:r>
        <w:rPr>
          <w:rFonts w:ascii="David" w:hAnsi="David" w:cs="David" w:eastAsia="David"/>
          <w:b/>
          <w:sz w:val="24"/>
          <w:u w:val="none"/>
          <w:rtl/>
          <w:bCs/>
          <w:szCs w:val="24"/>
        </w:rPr>
        <w:t>"ככל ולא תוגש תגובה עד ליום 10.9.2026 ייקבע מועד לדיון לצורך קבלת עמדת ב"כ היועמ"ש"</w:t>
      </w:r>
      <w:r>
        <w:rPr>
          <w:rFonts w:ascii="David" w:hAnsi="David" w:cs="David" w:eastAsia="David"/>
          <w:b w:val="0"/>
          <w:sz w:val="24"/>
          <w:u w:val="none"/>
          <w:rtl/>
          <w:szCs w:val="24"/>
        </w:rPr>
        <w:t>.</w:t>
      </w:r>
    </w:p>
    <w:p>
      <w:pPr>
        <w:bidi/>
        <w:spacing w:after="80" w:line="276" w:lineRule="auto"/>
        <w:ind w:right="510" w:hanging="510"/>
        <w:jc w:val="both"/>
      </w:pPr>
      <w:r>
        <w:rPr>
          <w:rFonts w:ascii="David" w:hAnsi="David" w:cs="David" w:eastAsia="David"/>
          <w:b w:val="0"/>
          <w:sz w:val="24"/>
          <w:u w:val="none"/>
          <w:rtl/>
          <w:szCs w:val="24"/>
        </w:rPr>
        <w:t>3.</w:t>
        <w:tab/>
      </w:r>
      <w:r>
        <w:rPr>
          <w:rFonts w:ascii="David" w:hAnsi="David" w:cs="David" w:eastAsia="David"/>
          <w:b w:val="0"/>
          <w:sz w:val="24"/>
          <w:u w:val="none"/>
          <w:rtl/>
          <w:szCs w:val="24"/>
        </w:rPr>
        <w:t>המועד חלף. לא הוגשה תגובה ולא התבקשה ארכה. משכך, יש לקבוע את התיק לדיון, כאמור בהחלטה.</w:t>
      </w:r>
    </w:p>
    <w:p>
      <w:pPr>
        <w:bidi/>
        <w:spacing w:after="80" w:line="276" w:lineRule="auto"/>
        <w:ind w:right="510" w:hanging="510"/>
        <w:jc w:val="both"/>
      </w:pPr>
      <w:r>
        <w:rPr>
          <w:rFonts w:ascii="David" w:hAnsi="David" w:cs="David" w:eastAsia="David"/>
          <w:b w:val="0"/>
          <w:sz w:val="24"/>
          <w:u w:val="none"/>
          <w:rtl/>
          <w:szCs w:val="24"/>
        </w:rPr>
        <w:t>4.</w:t>
        <w:tab/>
      </w:r>
      <w:r>
        <w:rPr>
          <w:rFonts w:ascii="David" w:hAnsi="David" w:cs="David" w:eastAsia="David"/>
          <w:b w:val="0"/>
          <w:sz w:val="24"/>
          <w:u w:val="none"/>
          <w:rtl/>
          <w:szCs w:val="24"/>
        </w:rPr>
        <w:t>בקשה זו מיישמת החלטה קיימת, ולכן אינה מצריכה תגובה.</w:t>
      </w:r>
    </w:p>
    <w:p>
      <w:pPr>
        <w:bidi/>
        <w:spacing w:after="120" w:line="276" w:lineRule="auto"/>
        <w:jc w:val="right"/>
      </w:pPr>
      <w:r>
        <w:rPr>
          <w:rFonts w:ascii="David" w:hAnsi="David" w:cs="David" w:eastAsia="David"/>
          <w:b/>
          <w:sz w:val="24"/>
          <w:u w:val="none"/>
          <w:rtl/>
          <w:bCs/>
          <w:szCs w:val="24"/>
        </w:rPr>
        <w:t>אשר על כן, מתבקש בית המשפט הנכבד:</w:t>
      </w:r>
    </w:p>
    <w:p>
      <w:pPr>
        <w:bidi/>
        <w:spacing w:after="80" w:line="276" w:lineRule="auto"/>
        <w:ind w:right="510" w:hanging="510"/>
        <w:jc w:val="both"/>
      </w:pPr>
      <w:r>
        <w:rPr>
          <w:rFonts w:ascii="David" w:hAnsi="David" w:cs="David" w:eastAsia="David"/>
          <w:b w:val="0"/>
          <w:sz w:val="24"/>
          <w:u w:val="none"/>
          <w:rtl/>
          <w:szCs w:val="24"/>
        </w:rPr>
        <w:t>א.</w:t>
        <w:tab/>
        <w:t>לקבוע את התיק לדיון במועד הקרוב.</w:t>
      </w:r>
    </w:p>
    <w:p>
      <w:pPr>
        <w:bidi/>
        <w:spacing w:after="80" w:line="276" w:lineRule="auto"/>
        <w:ind w:right="510" w:hanging="510"/>
        <w:jc w:val="both"/>
      </w:pPr>
      <w:r>
        <w:rPr>
          <w:rFonts w:ascii="David" w:hAnsi="David" w:cs="David" w:eastAsia="David"/>
          <w:b w:val="0"/>
          <w:sz w:val="24"/>
          <w:u w:val="none"/>
          <w:rtl/>
          <w:szCs w:val="24"/>
        </w:rPr>
        <w:t>ב.</w:t>
        <w:tab/>
        <w:t>להורות למשיב להגיש עמדה בכתב 7 ימים לפני הדיון.</w:t>
      </w:r>
    </w:p>
    <w:p>
      <w:pPr>
        <w:bidi/>
        <w:spacing w:after="80" w:line="276" w:lineRule="auto"/>
        <w:ind w:right="510" w:hanging="510"/>
        <w:jc w:val="both"/>
      </w:pPr>
      <w:r>
        <w:rPr>
          <w:rFonts w:ascii="David" w:hAnsi="David" w:cs="David" w:eastAsia="David"/>
          <w:b w:val="0"/>
          <w:sz w:val="24"/>
          <w:u w:val="none"/>
          <w:rtl/>
          <w:szCs w:val="24"/>
        </w:rPr>
        <w:t>ג.</w:t>
        <w:tab/>
        <w:t>לחלופין, להיעתר לבקשה מיום 28.5.2026 בהיעדר תגובה.</w:t>
      </w:r>
    </w:p>
    <w:p>
      <w:pPr>
        <w:bidi/>
        <w:spacing w:after="80" w:line="276" w:lineRule="auto"/>
        <w:ind w:right="510" w:hanging="510"/>
        <w:jc w:val="both"/>
      </w:pPr>
      <w:r>
        <w:rPr>
          <w:rFonts w:ascii="David" w:hAnsi="David" w:cs="David" w:eastAsia="David"/>
          <w:b w:val="0"/>
          <w:sz w:val="24"/>
          <w:u w:val="none"/>
          <w:rtl/>
          <w:szCs w:val="24"/>
        </w:rPr>
        <w:t>ד.</w:t>
        <w:tab/>
        <w:t>לחייב את המשיב בהוצאות.</w:t>
      </w:r>
    </w:p>
    <w:p>
      <w:pPr>
        <w:bidi/>
        <w:spacing w:after="120" w:line="276" w:lineRule="auto"/>
        <w:jc w:val="right"/>
      </w:pP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35"/>
        <w:gridCol w:w="4535"/>
      </w:tblGrid>
      <w:tr>
        <w:tc>
          <w:tcPr>
            <w:tcW w:type="dxa" w:w="4536"/>
          </w:tcPr>
          <w:p>
            <w:pPr>
              <w:bidi/>
              <w:spacing w:after="0" w:line="276" w:lineRule="auto"/>
              <w:jc w:val="right"/>
            </w:pPr>
            <w:r>
              <w:rPr>
                <w:rFonts w:ascii="David" w:hAnsi="David" w:cs="David" w:eastAsia="David"/>
                <w:b w:val="0"/>
                <w:sz w:val="24"/>
                <w:u w:val="none"/>
                <w:rtl/>
                <w:szCs w:val="24"/>
              </w:rPr>
            </w:r>
          </w:p>
          <w:p>
            <w:pPr>
              <w:bidi/>
              <w:spacing w:after="0" w:line="276" w:lineRule="auto"/>
              <w:jc w:val="right"/>
            </w:pPr>
            <w:r>
              <w:rPr>
                <w:rFonts w:ascii="David" w:hAnsi="David" w:cs="David" w:eastAsia="David"/>
                <w:b w:val="0"/>
                <w:sz w:val="24"/>
                <w:u w:val="none"/>
                <w:rtl/>
                <w:szCs w:val="24"/>
              </w:rPr>
              <w:t>תאריך: 12.10.2026</w:t>
            </w:r>
          </w:p>
        </w:tc>
        <w:tc>
          <w:tcPr>
            <w:tcW w:type="dxa" w:w="4536"/>
          </w:tcPr>
          <w:p>
            <w:pPr>
              <w:bidi/>
              <w:spacing w:after="0" w:line="276" w:lineRule="auto"/>
              <w:jc w:val="center"/>
            </w:pPr>
            <w:r>
              <w:rPr>
                <w:rFonts w:ascii="David" w:hAnsi="David" w:cs="David" w:eastAsia="David"/>
                <w:b w:val="0"/>
                <w:sz w:val="24"/>
                <w:u w:val="none"/>
                <w:rtl/>
                <w:szCs w:val="24"/>
              </w:rPr>
              <w:t>_______________________</w:t>
            </w:r>
          </w:p>
          <w:p>
            <w:pPr>
              <w:bidi/>
              <w:spacing w:after="0" w:line="276" w:lineRule="auto"/>
              <w:jc w:val="center"/>
            </w:pPr>
            <w:r>
              <w:rPr>
                <w:rFonts w:ascii="David" w:hAnsi="David" w:cs="David" w:eastAsia="David"/>
                <w:b/>
                <w:sz w:val="24"/>
                <w:u w:val="none"/>
                <w:rtl/>
                <w:bCs/>
                <w:szCs w:val="24"/>
              </w:rPr>
              <w:t>סולומון טקה, עו"ד</w:t>
            </w:r>
          </w:p>
          <w:p>
            <w:pPr>
              <w:bidi/>
              <w:spacing w:after="0" w:line="276" w:lineRule="auto"/>
              <w:jc w:val="center"/>
            </w:pPr>
            <w:r>
              <w:rPr>
                <w:rFonts w:ascii="David" w:hAnsi="David" w:cs="David" w:eastAsia="David"/>
                <w:b/>
                <w:sz w:val="24"/>
                <w:u w:val="none"/>
                <w:rtl/>
                <w:bCs/>
                <w:szCs w:val="24"/>
              </w:rPr>
              <w:t>ב"כ המבקשת</w:t>
            </w:r>
          </w:p>
        </w:tc>
      </w:tr>
    </w:tbl>
    <w:sectPr w:rsidR="00FC693F" w:rsidRPr="0006063C" w:rsidSect="00034616">
      <w:pgSz w:w="11906" w:h="16838"/>
      <w:pgMar w:top="1020" w:right="1417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