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lineRule="auto"/>
              <w:jc w:val="start"/>
            </w:pPr>
            <w:r>
              <w:rPr>
                <w:rFonts w:ascii="David" w:cs="David" w:eastAsia="David" w:hAnsi="David"/>
                <w:b/>
                <w:bCs/>
                <w:sz w:val="26"/>
                <w:szCs w:val="26"/>
                <w:rtl/>
              </w:rPr>
              <w:t xml:space="preserve">בבית המשפט לענייני משפחה ב______________</w:t>
            </w:r>
          </w:p>
        </w:tc>
        <w:tc>
          <w:tcPr>
            <w:tcW w:type="dxa" w:w="453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lineRule="auto"/>
              <w:jc w:val="end"/>
            </w:pPr>
            <w:r>
              <w:rPr>
                <w:rFonts w:ascii="David" w:cs="David" w:eastAsia="David" w:hAnsi="David"/>
                <w:b/>
                <w:bCs/>
                <w:sz w:val="26"/>
                <w:szCs w:val="26"/>
                <w:rtl/>
              </w:rPr>
              <w:t xml:space="preserve">ה"ט 59722-08-26</w:t>
            </w:r>
          </w:p>
        </w:tc>
      </w:tr>
    </w:tbl>
    <w:p>
      <w:pPr>
        <w:spacing w:after="200"/>
      </w:pP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7372"/>
      </w:tblGrid>
      <w:t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lineRule="auto"/>
              <w:jc w:val="start"/>
            </w:pPr>
            <w:r>
              <w:rPr>
                <w:rFonts w:ascii="David" w:cs="David" w:eastAsia="David" w:hAnsi="David"/>
                <w:b/>
                <w:bCs/>
                <w:sz w:val="24"/>
                <w:szCs w:val="24"/>
                <w:rtl/>
              </w:rPr>
              <w:t xml:space="preserve">המבקשת:</w:t>
            </w:r>
          </w:p>
        </w:tc>
        <w:tc>
          <w:tcPr>
            <w:tcW w:type="dxa" w:w="7372"/>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lineRule="auto"/>
              <w:jc w:val="start"/>
            </w:pPr>
            <w:r>
              <w:rPr>
                <w:rFonts w:ascii="David" w:cs="David" w:eastAsia="David" w:hAnsi="David"/>
                <w:sz w:val="24"/>
                <w:szCs w:val="24"/>
                <w:rtl/>
              </w:rPr>
              <w:t xml:space="preserve">______________, ת.ז. ______________</w:t>
            </w:r>
          </w:p>
          <w:p>
            <w:pPr>
              <w:bidi/>
              <w:spacing w:after="0" w:line="300" w:lineRule="auto"/>
              <w:jc w:val="start"/>
            </w:pPr>
            <w:r>
              <w:rPr>
                <w:rFonts w:ascii="David" w:cs="David" w:eastAsia="David" w:hAnsi="David"/>
                <w:sz w:val="24"/>
                <w:szCs w:val="24"/>
                <w:rtl/>
              </w:rPr>
              <w:t xml:space="preserve">ע"י ב"כ עו"ד סולומון טקה, מ.ר. ______________</w:t>
            </w:r>
          </w:p>
          <w:p>
            <w:pPr>
              <w:bidi/>
              <w:spacing w:after="0" w:line="300" w:lineRule="auto"/>
              <w:jc w:val="start"/>
            </w:pPr>
            <w:r>
              <w:rPr>
                <w:rFonts w:ascii="David" w:cs="David" w:eastAsia="David" w:hAnsi="David"/>
                <w:sz w:val="24"/>
                <w:szCs w:val="24"/>
                <w:rtl/>
              </w:rPr>
              <w:t xml:space="preserve">מרחוב ______________ ; טל' ______________ ; פקס ______________</w:t>
            </w:r>
          </w:p>
          <w:p>
            <w:pPr>
              <w:bidi/>
              <w:spacing w:after="0" w:line="300" w:lineRule="auto"/>
              <w:jc w:val="start"/>
            </w:pPr>
            <w:r>
              <w:rPr>
                <w:rFonts w:ascii="David" w:cs="David" w:eastAsia="David" w:hAnsi="David"/>
                <w:sz w:val="24"/>
                <w:szCs w:val="24"/>
                <w:rtl/>
              </w:rPr>
              <w:t xml:space="preserve">דוא"ל: solomontekadv@gmail.com</w:t>
            </w:r>
          </w:p>
        </w:tc>
      </w:tr>
      <w:tr>
        <w:tc>
          <w:tcPr>
            <w:tcW w:type="dxa" w:w="9072"/>
            <w:gridSpan w:val="2"/>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lineRule="auto"/>
              <w:jc w:val="center"/>
            </w:pPr>
            <w:r>
              <w:rPr>
                <w:rFonts w:ascii="David" w:cs="David" w:eastAsia="David" w:hAnsi="David"/>
                <w:b/>
                <w:bCs/>
                <w:sz w:val="24"/>
                <w:szCs w:val="24"/>
                <w:rtl/>
              </w:rPr>
              <w:t xml:space="preserve">- נ ג ד -</w:t>
            </w:r>
          </w:p>
        </w:tc>
      </w:tr>
      <w:t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lineRule="auto"/>
              <w:jc w:val="start"/>
            </w:pPr>
            <w:r>
              <w:rPr>
                <w:rFonts w:ascii="David" w:cs="David" w:eastAsia="David" w:hAnsi="David"/>
                <w:b/>
                <w:bCs/>
                <w:sz w:val="24"/>
                <w:szCs w:val="24"/>
                <w:rtl/>
              </w:rPr>
              <w:t xml:space="preserve">המשיב:</w:t>
            </w:r>
          </w:p>
        </w:tc>
        <w:tc>
          <w:tcPr>
            <w:tcW w:type="dxa" w:w="7372"/>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00" w:lineRule="auto"/>
              <w:jc w:val="start"/>
            </w:pPr>
            <w:r>
              <w:rPr>
                <w:rFonts w:ascii="David" w:cs="David" w:eastAsia="David" w:hAnsi="David"/>
                <w:sz w:val="24"/>
                <w:szCs w:val="24"/>
                <w:rtl/>
              </w:rPr>
              <w:t xml:space="preserve">הבטמו אייסו, ת.ז. ______________</w:t>
            </w:r>
          </w:p>
          <w:p>
            <w:pPr>
              <w:bidi/>
              <w:spacing w:after="0" w:line="300" w:lineRule="auto"/>
              <w:jc w:val="start"/>
            </w:pPr>
            <w:r>
              <w:rPr>
                <w:rFonts w:ascii="David" w:cs="David" w:eastAsia="David" w:hAnsi="David"/>
                <w:sz w:val="24"/>
                <w:szCs w:val="24"/>
                <w:rtl/>
              </w:rPr>
              <w:t xml:space="preserve">מרחוב ______________</w:t>
            </w:r>
          </w:p>
          <w:p>
            <w:pPr>
              <w:bidi/>
              <w:spacing w:after="0" w:line="300" w:lineRule="auto"/>
              <w:jc w:val="start"/>
            </w:pPr>
            <w:r>
              <w:rPr>
                <w:rFonts w:ascii="David" w:cs="David" w:eastAsia="David" w:hAnsi="David"/>
                <w:sz w:val="24"/>
                <w:szCs w:val="24"/>
                <w:rtl/>
              </w:rPr>
              <w:t xml:space="preserve">(אינו מיוצג בהליך זה)</w:t>
            </w:r>
          </w:p>
        </w:tc>
      </w:tr>
    </w:tbl>
    <w:p>
      <w:pPr>
        <w:bidi/>
        <w:spacing w:after="80" w:before="360"/>
        <w:jc w:val="center"/>
      </w:pPr>
      <w:r>
        <w:rPr>
          <w:rFonts w:ascii="David" w:cs="David" w:eastAsia="David" w:hAnsi="David"/>
          <w:b/>
          <w:bCs/>
          <w:sz w:val="30"/>
          <w:szCs w:val="30"/>
          <w:u w:val="single"/>
          <w:rtl/>
        </w:rPr>
        <w:t xml:space="preserve">הודעת עדכון מטעם המבקשת</w:t>
      </w:r>
    </w:p>
    <w:p>
      <w:pPr>
        <w:bidi/>
        <w:spacing w:after="60" w:before="0"/>
        <w:jc w:val="center"/>
      </w:pPr>
      <w:r>
        <w:rPr>
          <w:rFonts w:ascii="David" w:cs="David" w:eastAsia="David" w:hAnsi="David"/>
          <w:b/>
          <w:bCs/>
          <w:sz w:val="24"/>
          <w:szCs w:val="24"/>
          <w:rtl/>
        </w:rPr>
        <w:t xml:space="preserve">ובקשה דחופה למתן החלטה בהסכמה בבקשה להארכת תוקף צו הגנה הדדי</w:t>
      </w:r>
    </w:p>
    <w:p>
      <w:pPr>
        <w:bidi/>
        <w:spacing w:after="300" w:before="0"/>
        <w:jc w:val="center"/>
      </w:pPr>
      <w:r>
        <w:rPr>
          <w:rFonts w:ascii="David" w:cs="David" w:eastAsia="David" w:hAnsi="David"/>
          <w:b/>
          <w:bCs/>
          <w:sz w:val="24"/>
          <w:szCs w:val="24"/>
          <w:rtl/>
        </w:rPr>
        <w:t xml:space="preserve">(תוקף הצו פוקע ביום 15.09.2026)</w:t>
      </w:r>
    </w:p>
    <w:p>
      <w:pPr>
        <w:bidi/>
        <w:spacing w:after="120" w:before="0" w:line="360" w:lineRule="auto"/>
        <w:jc w:val="both"/>
      </w:pPr>
      <w:r>
        <w:rPr>
          <w:rFonts w:ascii="David" w:cs="David" w:eastAsia="David" w:hAnsi="David"/>
          <w:sz w:val="24"/>
          <w:szCs w:val="24"/>
          <w:rtl/>
        </w:rPr>
        <w:t xml:space="preserve">בית המשפט הנכבד מתבקש ליתן, בדחיפות ובטרם פקיעת הצו, את המבוקש בבקשה להארכת תוקף צו ההגנה ההדדי שהוגשה מטעם המבקשת (להלן: </w:t>
      </w:r>
      <w:r>
        <w:rPr>
          <w:rFonts w:ascii="David" w:cs="David" w:eastAsia="David" w:hAnsi="David"/>
          <w:b/>
          <w:bCs/>
          <w:sz w:val="24"/>
          <w:szCs w:val="24"/>
          <w:rtl/>
        </w:rPr>
        <w:t xml:space="preserve">"הבקשה"</w:t>
      </w:r>
      <w:r>
        <w:rPr>
          <w:rFonts w:ascii="David" w:cs="David" w:eastAsia="David" w:hAnsi="David"/>
          <w:sz w:val="24"/>
          <w:szCs w:val="24"/>
          <w:rtl/>
        </w:rPr>
        <w:t xml:space="preserve">), וזאת בהסכמת המשיב, אשר נמסרה בכתב, כמפורט להלן:</w:t>
      </w:r>
    </w:p>
    <w:p>
      <w:pPr>
        <w:pStyle w:val="ListParagraph"/>
        <w:numPr>
          <w:ilvl w:val="0"/>
          <w:numId w:val="2"/>
        </w:numPr>
        <w:bidi/>
        <w:spacing w:after="120" w:before="0" w:line="360" w:lineRule="auto"/>
        <w:jc w:val="both"/>
      </w:pPr>
      <w:r>
        <w:rPr>
          <w:rFonts w:ascii="David" w:cs="David" w:eastAsia="David" w:hAnsi="David"/>
          <w:sz w:val="24"/>
          <w:szCs w:val="24"/>
          <w:rtl/>
        </w:rPr>
        <w:t xml:space="preserve">בין הצדדים עומד בתוקפו צו הגנה הדדי, אשר הוארך בהסכמת הצדדים, במסגרת ההליך הקודם שהתנהל ביניהם (ה"ט 9910-03-26), עד ליום 15.09.2026.</w:t>
      </w:r>
    </w:p>
    <w:p>
      <w:pPr>
        <w:pStyle w:val="ListParagraph"/>
        <w:numPr>
          <w:ilvl w:val="0"/>
          <w:numId w:val="2"/>
        </w:numPr>
        <w:bidi/>
        <w:spacing w:after="120" w:before="0" w:line="360" w:lineRule="auto"/>
        <w:jc w:val="both"/>
      </w:pPr>
      <w:r>
        <w:rPr>
          <w:rFonts w:ascii="David" w:cs="David" w:eastAsia="David" w:hAnsi="David"/>
          <w:sz w:val="24"/>
          <w:szCs w:val="24"/>
          <w:rtl/>
        </w:rPr>
        <w:t xml:space="preserve">בבקשה עתרה המבקשת להארכת תוקף הצו בשלושה חודשים נוספים, באותה מתכונת שבה עמד בתוקפו עד כה.</w:t>
      </w:r>
    </w:p>
    <w:p>
      <w:pPr>
        <w:pStyle w:val="ListParagraph"/>
        <w:numPr>
          <w:ilvl w:val="0"/>
          <w:numId w:val="2"/>
        </w:numPr>
        <w:bidi/>
        <w:spacing w:after="120" w:before="0" w:line="360" w:lineRule="auto"/>
        <w:jc w:val="both"/>
      </w:pPr>
      <w:r>
        <w:rPr>
          <w:rFonts w:ascii="David" w:cs="David" w:eastAsia="David" w:hAnsi="David"/>
          <w:sz w:val="24"/>
          <w:szCs w:val="24"/>
          <w:rtl/>
        </w:rPr>
        <w:t xml:space="preserve">הבקשה הומצאה ביום 20.08.2026 לעו"ד ______________, אשר ייצגה את המשיב בהליך הקודם ואשר במסגרתו מסרה בשמו את הסכמתו להארכה הקודמת של הצו.</w:t>
      </w:r>
    </w:p>
    <w:p>
      <w:pPr>
        <w:pStyle w:val="ListParagraph"/>
        <w:numPr>
          <w:ilvl w:val="0"/>
          <w:numId w:val="2"/>
        </w:numPr>
        <w:bidi/>
        <w:spacing w:after="120" w:before="0" w:line="360" w:lineRule="auto"/>
        <w:jc w:val="both"/>
      </w:pPr>
      <w:r>
        <w:rPr>
          <w:rFonts w:ascii="David" w:cs="David" w:eastAsia="David" w:hAnsi="David"/>
          <w:sz w:val="24"/>
          <w:szCs w:val="24"/>
          <w:rtl/>
        </w:rPr>
        <w:t xml:space="preserve">עו"ד ______________ עדכנה את הח"מ כי ייפוי הכוח שבידיה ניתן לה לצורך ההליך הקודם בלבד, וכי משהבקשה נפתחה בתיק חדש שבו אינה רשומה כמייצגת, לא היה באפשרותה להגיש את תגובת המשיב באמצעות מערכת נט המשפט. זו, ורק זו, הסיבה שבגינה לא הוגשה תגובה כתובה בתיק, אף שהבקשה הגיעה לידי המשיב זה מכבר.</w:t>
      </w:r>
    </w:p>
    <w:p>
      <w:pPr>
        <w:pStyle w:val="ListParagraph"/>
        <w:numPr>
          <w:ilvl w:val="0"/>
          <w:numId w:val="2"/>
        </w:numPr>
        <w:bidi/>
        <w:spacing w:after="120" w:before="0" w:line="360" w:lineRule="auto"/>
        <w:jc w:val="both"/>
      </w:pPr>
      <w:r>
        <w:rPr>
          <w:rFonts w:ascii="David" w:cs="David" w:eastAsia="David" w:hAnsi="David"/>
          <w:sz w:val="24"/>
          <w:szCs w:val="24"/>
          <w:rtl/>
        </w:rPr>
        <w:t xml:space="preserve">ביום ______________ מסרה עו"ד ______________ לח"מ, בכתב, את הסכמת המשיב לבקשה, בזו הלשון:</w:t>
      </w:r>
    </w:p>
    <w:p>
      <w:pPr>
        <w:bidi/>
        <w:spacing w:after="200" w:before="60" w:line="300" w:lineRule="auto"/>
        <w:ind w:left="850" w:right="850"/>
        <w:jc w:val="both"/>
      </w:pPr>
      <w:r>
        <w:rPr>
          <w:rFonts w:ascii="David" w:cs="David" w:eastAsia="David" w:hAnsi="David"/>
          <w:i/>
          <w:iCs/>
          <w:sz w:val="24"/>
          <w:szCs w:val="24"/>
          <w:rtl/>
        </w:rPr>
        <w:t xml:space="preserve">"בהסתמך על הסכמה קודמת על פיה הוארך תוקפו של צו הגנה הדדי עד ליום 15.09.26, אין התנגדות של הבטמו אייסו להאריכו בשלושה חודשים נוספים, באותה מתכונת קודמת ותוך המשך קיום הסדרי ראייה עם שלושת הקטינים במרכז קשר "פלא" בטירת הכרמל".</w:t>
      </w:r>
    </w:p>
    <w:p>
      <w:pPr>
        <w:pStyle w:val="ListParagraph"/>
        <w:numPr>
          <w:ilvl w:val="0"/>
          <w:numId w:val="2"/>
        </w:numPr>
        <w:bidi/>
        <w:spacing w:after="120" w:before="0" w:line="360" w:lineRule="auto"/>
        <w:jc w:val="both"/>
      </w:pPr>
      <w:r>
        <w:rPr>
          <w:rFonts w:ascii="David" w:cs="David" w:eastAsia="David" w:hAnsi="David"/>
          <w:sz w:val="24"/>
          <w:szCs w:val="24"/>
          <w:rtl/>
        </w:rPr>
        <w:t xml:space="preserve">העתק הודעת ב"כ המשיב מצורף להודעה זו ומסומן </w:t>
      </w:r>
      <w:r>
        <w:rPr>
          <w:rFonts w:ascii="David" w:cs="David" w:eastAsia="David" w:hAnsi="David"/>
          <w:b/>
          <w:bCs/>
          <w:sz w:val="24"/>
          <w:szCs w:val="24"/>
          <w:rtl/>
        </w:rPr>
        <w:t xml:space="preserve">נספח א'</w:t>
      </w:r>
      <w:r>
        <w:rPr>
          <w:rFonts w:ascii="David" w:cs="David" w:eastAsia="David" w:hAnsi="David"/>
          <w:sz w:val="24"/>
          <w:szCs w:val="24"/>
          <w:rtl/>
        </w:rPr>
        <w:t xml:space="preserve">.</w:t>
      </w:r>
    </w:p>
    <w:p>
      <w:pPr>
        <w:pStyle w:val="ListParagraph"/>
        <w:numPr>
          <w:ilvl w:val="0"/>
          <w:numId w:val="2"/>
        </w:numPr>
        <w:bidi/>
        <w:spacing w:after="120" w:before="0" w:line="360" w:lineRule="auto"/>
        <w:jc w:val="both"/>
      </w:pPr>
      <w:r>
        <w:rPr>
          <w:rFonts w:ascii="David" w:cs="David" w:eastAsia="David" w:hAnsi="David"/>
          <w:sz w:val="24"/>
          <w:szCs w:val="24"/>
          <w:rtl/>
        </w:rPr>
        <w:t xml:space="preserve">הנה כי כן, המשיב מסכים להארכת תוקף צו ההגנה ההדדי בשלושה חודשים נוספים, באותה מתכונת, לרבות המשך קיום הסדרי הראייה עם שלושת הקטינים במרכז הקשר "פלא" בטירת הכרמל, כפי שהתקיימו עד כה. אין אפוא כל מחלוקת בין הצדדים, והבקשה בשלה למתן החלטה.</w:t>
      </w:r>
    </w:p>
    <w:p>
      <w:pPr>
        <w:pStyle w:val="ListParagraph"/>
        <w:numPr>
          <w:ilvl w:val="0"/>
          <w:numId w:val="2"/>
        </w:numPr>
        <w:bidi/>
        <w:spacing w:after="120" w:before="0" w:line="360" w:lineRule="auto"/>
        <w:jc w:val="both"/>
      </w:pPr>
      <w:r>
        <w:rPr>
          <w:rFonts w:ascii="David" w:cs="David" w:eastAsia="David" w:hAnsi="David"/>
          <w:sz w:val="24"/>
          <w:szCs w:val="24"/>
          <w:rtl/>
        </w:rPr>
        <w:t xml:space="preserve">תוקף הצו הקיים פוקע ביום 15.09.2026. מתן ההחלטה בטרם מועד זה נדרש כדי למנוע פער בין פקיעת הצו הקיים לבין תחילת תוקפה של ההארכה, על כל המשתמע מכך לעניין ההגנה על המבקשת ועל הקטינים.</w:t>
      </w:r>
    </w:p>
    <w:p>
      <w:pPr>
        <w:pStyle w:val="ListParagraph"/>
        <w:numPr>
          <w:ilvl w:val="0"/>
          <w:numId w:val="2"/>
        </w:numPr>
        <w:bidi/>
        <w:spacing w:after="120" w:before="0" w:line="360" w:lineRule="auto"/>
        <w:jc w:val="both"/>
      </w:pPr>
      <w:r>
        <w:rPr>
          <w:rFonts w:ascii="David" w:cs="David" w:eastAsia="David" w:hAnsi="David"/>
          <w:sz w:val="24"/>
          <w:szCs w:val="24"/>
          <w:rtl/>
        </w:rPr>
        <w:t xml:space="preserve">אשר על כן, מתבקש בית המשפט הנכבד ליתן את המבוקש בבקשה ולהורות, בהסכמת הצדדים, על הארכת תוקף צו ההגנה ההדדי בשלושה חודשים נוספים, מיום 15.09.2026 ועד ליום 15.12.2026, באותה מתכונת שבה עמד בתוקפו עד כה, ותוך המשך קיום הסדרי הראייה עם הקטינים במרכז הקשר "פלא" בטירת הכרמל.</w:t>
      </w:r>
    </w:p>
    <w:p>
      <w:pPr>
        <w:pStyle w:val="ListParagraph"/>
        <w:numPr>
          <w:ilvl w:val="0"/>
          <w:numId w:val="2"/>
        </w:numPr>
        <w:bidi/>
        <w:spacing w:after="120" w:before="0" w:line="360" w:lineRule="auto"/>
        <w:jc w:val="both"/>
      </w:pPr>
      <w:r>
        <w:rPr>
          <w:rFonts w:ascii="David" w:cs="David" w:eastAsia="David" w:hAnsi="David"/>
          <w:sz w:val="24"/>
          <w:szCs w:val="24"/>
          <w:rtl/>
        </w:rPr>
        <w:t xml:space="preserve">למען הסדר הטוב, ומאחר שהמשיב אינו מיוצג בהליך זה, מתבקש בית המשפט הנכבד להורות על המצאת ההחלטה למשיב עצמו, לפי כתובתו הרשומה בתיק.</w:t>
      </w:r>
    </w:p>
    <w:p>
      <w:pPr>
        <w:pStyle w:val="ListParagraph"/>
        <w:numPr>
          <w:ilvl w:val="0"/>
          <w:numId w:val="2"/>
        </w:numPr>
        <w:bidi/>
        <w:spacing w:after="120" w:before="0" w:line="360" w:lineRule="auto"/>
        <w:jc w:val="both"/>
      </w:pPr>
      <w:r>
        <w:rPr>
          <w:rFonts w:ascii="David" w:cs="David" w:eastAsia="David" w:hAnsi="David"/>
          <w:sz w:val="24"/>
          <w:szCs w:val="24"/>
          <w:rtl/>
        </w:rPr>
        <w:t xml:space="preserve">העתק מהודעה זו נשלח במקביל לעו"ד ______________, לשם העברתו למשיב.</w:t>
      </w:r>
    </w:p>
    <w:p>
      <w:pPr>
        <w:bidi/>
        <w:spacing w:after="0" w:before="400"/>
        <w:jc w:val="start"/>
      </w:pPr>
      <w:r>
        <w:rPr>
          <w:rFonts w:ascii="David" w:cs="David" w:eastAsia="David" w:hAnsi="David"/>
          <w:sz w:val="24"/>
          <w:szCs w:val="24"/>
          <w:rtl/>
        </w:rPr>
        <w:t xml:space="preserve">תאריך: ______________</w:t>
      </w:r>
    </w:p>
    <w:p>
      <w:pPr>
        <w:bidi/>
        <w:spacing w:after="0" w:before="400"/>
        <w:jc w:val="end"/>
      </w:pPr>
      <w:r>
        <w:rPr>
          <w:rFonts w:ascii="David" w:cs="David" w:eastAsia="David" w:hAnsi="David"/>
          <w:sz w:val="24"/>
          <w:szCs w:val="24"/>
          <w:rtl/>
        </w:rPr>
        <w:t xml:space="preserve">_______________________</w:t>
      </w:r>
    </w:p>
    <w:p>
      <w:pPr>
        <w:bidi/>
        <w:spacing w:after="0"/>
        <w:jc w:val="end"/>
      </w:pPr>
      <w:r>
        <w:rPr>
          <w:rFonts w:ascii="David" w:cs="David" w:eastAsia="David" w:hAnsi="David"/>
          <w:b/>
          <w:bCs/>
          <w:sz w:val="24"/>
          <w:szCs w:val="24"/>
          <w:rtl/>
        </w:rPr>
        <w:t xml:space="preserve">סולומון טקה, עו"ד</w:t>
      </w:r>
    </w:p>
    <w:p>
      <w:pPr>
        <w:bidi/>
        <w:spacing w:after="0"/>
        <w:jc w:val="end"/>
      </w:pPr>
      <w:r>
        <w:rPr>
          <w:rFonts w:ascii="David" w:cs="David" w:eastAsia="David" w:hAnsi="David"/>
          <w:sz w:val="24"/>
          <w:szCs w:val="24"/>
          <w:rtl/>
        </w:rPr>
        <w:t xml:space="preserve">ב"כ המבקשת</w:t>
      </w:r>
    </w:p>
    <w:p>
      <w:r>
        <w:br w:type="page"/>
      </w:r>
    </w:p>
    <w:p>
      <w:pPr>
        <w:bidi/>
        <w:spacing w:after="200" w:before="2000"/>
        <w:jc w:val="center"/>
      </w:pPr>
      <w:r>
        <w:rPr>
          <w:rFonts w:ascii="David" w:cs="David" w:eastAsia="David" w:hAnsi="David"/>
          <w:b/>
          <w:bCs/>
          <w:sz w:val="32"/>
          <w:szCs w:val="32"/>
          <w:rtl/>
        </w:rPr>
        <w:t xml:space="preserve">נספח א'</w:t>
      </w:r>
    </w:p>
    <w:p>
      <w:pPr>
        <w:bidi/>
        <w:spacing w:after="120" w:before="0"/>
        <w:jc w:val="center"/>
      </w:pPr>
      <w:r>
        <w:rPr>
          <w:rFonts w:ascii="David" w:cs="David" w:eastAsia="David" w:hAnsi="David"/>
          <w:b/>
          <w:bCs/>
          <w:sz w:val="26"/>
          <w:szCs w:val="26"/>
          <w:rtl/>
        </w:rPr>
        <w:t xml:space="preserve">הודעת ב"כ המשיב בדבר הסכמת המשיב להארכת תוקף צו ההגנה ההדדי</w:t>
      </w:r>
    </w:p>
    <w:p>
      <w:pPr>
        <w:bidi/>
        <w:spacing w:after="600" w:before="0"/>
        <w:jc w:val="center"/>
      </w:pPr>
      <w:r>
        <w:rPr>
          <w:rFonts w:ascii="David" w:cs="David" w:eastAsia="David" w:hAnsi="David"/>
          <w:sz w:val="24"/>
          <w:szCs w:val="24"/>
          <w:rtl/>
        </w:rPr>
        <w:t xml:space="preserve">(עו"ד ______________, מיום ______________)</w:t>
      </w:r>
    </w:p>
    <w:p>
      <w:pPr>
        <w:bidi/>
        <w:spacing w:after="120" w:before="0" w:line="360" w:lineRule="auto"/>
        <w:jc w:val="start"/>
      </w:pPr>
      <w:r>
        <w:rPr>
          <w:rFonts w:ascii="David" w:cs="David" w:eastAsia="David" w:hAnsi="David"/>
          <w:sz w:val="24"/>
          <w:szCs w:val="24"/>
          <w:rtl/>
        </w:rPr>
        <w:t xml:space="preserve">שלום עו"ד טקה</w:t>
      </w:r>
    </w:p>
    <w:p>
      <w:pPr>
        <w:bidi/>
        <w:spacing w:after="400" w:before="0" w:line="360" w:lineRule="auto"/>
        <w:jc w:val="both"/>
      </w:pPr>
      <w:r>
        <w:rPr>
          <w:rFonts w:ascii="David" w:cs="David" w:eastAsia="David" w:hAnsi="David"/>
          <w:sz w:val="24"/>
          <w:szCs w:val="24"/>
          <w:rtl/>
        </w:rPr>
        <w:t xml:space="preserve">בהסתמך על הסכמה קודמת על פיה הוארך תוקפו של צו הגנה הדדי עד ליום 15.09.26, אין התנגדות של הבטמו אייסו להאריכו בשלושה חודשים נוספים, באותה מתכונת קודמת ותוך המשך קיום הסדרי ראייה עם שלושת הקטינים במרכז קשר "פלא" בטירת הכרמל".</w:t>
      </w:r>
    </w:p>
    <w:p>
      <w:pPr>
        <w:bidi/>
        <w:spacing w:after="120" w:before="0" w:line="360" w:lineRule="auto"/>
        <w:jc w:val="center"/>
      </w:pPr>
      <w:r>
        <w:rPr>
          <w:rFonts w:ascii="David" w:cs="David" w:eastAsia="David" w:hAnsi="David"/>
          <w:i/>
          <w:iCs/>
          <w:sz w:val="20"/>
          <w:szCs w:val="20"/>
          <w:rtl/>
        </w:rPr>
        <w:t xml:space="preserve">[במקום עמוד זה, או בנוסף לו, יש לצרף צילום מסך של ההודעה המקורית כפי שהתקבלה]</w:t>
      </w:r>
    </w:p>
    <w:sectPr>
      <w:footerReference w:type="default" r:id="rId7"/>
      <w:pgSz w:w="11906" w:h="16838" w:orient="portrait"/>
      <w:pgMar w:top="1417" w:right="1417" w:bottom="1417" w:left="1417"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0"/>
        <w:szCs w:val="20"/>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567" w:hanging="56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הודעת עדכון מטעם המבקשת ובקשה דחופה למתן החלטה - ה"ט 59722-08-26</dc:title>
  <dc:creator>עו"ד סולומון טקה</dc:creator>
  <cp:lastModifiedBy>Un-named</cp:lastModifiedBy>
  <cp:revision>1</cp:revision>
  <dcterms:created xsi:type="dcterms:W3CDTF">2026-09-14T06:24:32.318Z</dcterms:created>
  <dcterms:modified xsi:type="dcterms:W3CDTF">2026-09-14T06:24:32.333Z</dcterms:modified>
</cp:coreProperties>
</file>

<file path=docProps/custom.xml><?xml version="1.0" encoding="utf-8"?>
<Properties xmlns="http://schemas.openxmlformats.org/officeDocument/2006/custom-properties" xmlns:vt="http://schemas.openxmlformats.org/officeDocument/2006/docPropsVTypes"/>
</file>