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line="360" w:lineRule="auto" w:after="40" w:before="0"/>
        <w:jc w:val="right"/>
      </w:pPr>
      <w:r>
        <w:rPr>
          <w:rFonts w:ascii="David" w:hAnsi="David" w:cs="David" w:eastAsia="David"/>
          <w:b/>
          <w:sz w:val="24"/>
          <w:u w:val="none"/>
          <w:szCs w:val="24"/>
          <w:rtl w:val="1"/>
          <w:bCs/>
        </w:rPr>
        <w:t>בבית הדין הרבני האזורי ב____________</w:t>
      </w:r>
    </w:p>
    <w:p>
      <w:pPr>
        <w:bidi/>
        <w:spacing w:line="360" w:lineRule="auto" w:after="160" w:before="0"/>
        <w:jc w:val="right"/>
      </w:pPr>
      <w:r>
        <w:rPr>
          <w:rFonts w:ascii="David" w:hAnsi="David" w:cs="David" w:eastAsia="David"/>
          <w:b/>
          <w:sz w:val="24"/>
          <w:u w:val="none"/>
          <w:szCs w:val="24"/>
          <w:rtl w:val="1"/>
          <w:bCs/>
        </w:rPr>
        <w:t>תיק מס' ____________</w:t>
      </w:r>
    </w:p>
    <w:p>
      <w:pPr>
        <w:bidi/>
        <w:spacing w:line="360" w:lineRule="auto" w:after="0" w:before="0"/>
        <w:jc w:val="right"/>
      </w:pPr>
      <w:r>
        <w:rPr>
          <w:rFonts w:ascii="David" w:hAnsi="David" w:cs="David" w:eastAsia="David"/>
          <w:b w:val="0"/>
          <w:sz w:val="24"/>
          <w:u w:val="none"/>
          <w:szCs w:val="24"/>
          <w:rtl w:val="1"/>
        </w:rPr>
        <w:t>המבקשת:</w:t>
        <w:tab/>
        <w:t>____________, ת"ז ____________</w:t>
      </w:r>
    </w:p>
    <w:p>
      <w:pPr>
        <w:bidi/>
        <w:spacing w:line="360" w:lineRule="auto" w:after="80" w:before="0"/>
        <w:jc w:val="right"/>
      </w:pPr>
      <w:r>
        <w:rPr>
          <w:rFonts w:ascii="David" w:hAnsi="David" w:cs="David" w:eastAsia="David"/>
          <w:b w:val="0"/>
          <w:sz w:val="24"/>
          <w:u w:val="none"/>
          <w:szCs w:val="24"/>
          <w:rtl w:val="1"/>
        </w:rPr>
        <w:t>(להלן: "המבקשת")</w:t>
      </w:r>
    </w:p>
    <w:p>
      <w:pPr>
        <w:bidi/>
        <w:spacing w:line="360" w:lineRule="auto" w:after="80" w:before="0"/>
        <w:jc w:val="center"/>
      </w:pPr>
      <w:r>
        <w:rPr>
          <w:rFonts w:ascii="David" w:hAnsi="David" w:cs="David" w:eastAsia="David"/>
          <w:b/>
          <w:sz w:val="24"/>
          <w:u w:val="none"/>
          <w:szCs w:val="24"/>
          <w:rtl w:val="1"/>
          <w:bCs/>
        </w:rPr>
        <w:t>- נ ג ד -</w:t>
      </w:r>
    </w:p>
    <w:p>
      <w:pPr>
        <w:bidi/>
        <w:spacing w:line="360" w:lineRule="auto" w:after="0" w:before="0"/>
        <w:jc w:val="right"/>
      </w:pPr>
      <w:r>
        <w:rPr>
          <w:rFonts w:ascii="David" w:hAnsi="David" w:cs="David" w:eastAsia="David"/>
          <w:b w:val="0"/>
          <w:sz w:val="24"/>
          <w:u w:val="none"/>
          <w:szCs w:val="24"/>
          <w:rtl w:val="1"/>
        </w:rPr>
        <w:t>המשיב:</w:t>
        <w:tab/>
        <w:t>____________, ת"ז ____________</w:t>
      </w:r>
    </w:p>
    <w:p>
      <w:pPr>
        <w:bidi/>
        <w:spacing w:line="360" w:lineRule="auto" w:after="200" w:before="0"/>
        <w:jc w:val="right"/>
      </w:pPr>
      <w:r>
        <w:rPr>
          <w:rFonts w:ascii="David" w:hAnsi="David" w:cs="David" w:eastAsia="David"/>
          <w:b w:val="0"/>
          <w:sz w:val="24"/>
          <w:u w:val="none"/>
          <w:szCs w:val="24"/>
          <w:rtl w:val="1"/>
        </w:rPr>
        <w:t>(להלן: "המשיב")</w:t>
      </w:r>
    </w:p>
    <w:p>
      <w:pPr>
        <w:bidi/>
        <w:spacing w:line="360" w:lineRule="auto" w:after="200" w:before="0"/>
        <w:jc w:val="center"/>
      </w:pPr>
      <w:r>
        <w:rPr>
          <w:rFonts w:ascii="David" w:hAnsi="David" w:cs="David" w:eastAsia="David"/>
          <w:b/>
          <w:sz w:val="30"/>
          <w:u w:val="single"/>
          <w:szCs w:val="30"/>
          <w:rtl w:val="1"/>
          <w:bCs/>
          <w:u w:val="single"/>
        </w:rPr>
        <w:t>תגובת המשיב לבקשת המבקשת בעניין המדור</w:t>
      </w:r>
    </w:p>
    <w:p>
      <w:pPr>
        <w:bidi/>
        <w:spacing w:line="360" w:lineRule="auto" w:after="160" w:before="0"/>
        <w:jc w:val="both"/>
      </w:pPr>
      <w:r>
        <w:rPr>
          <w:rFonts w:ascii="David" w:hAnsi="David" w:cs="David" w:eastAsia="David"/>
          <w:b w:val="0"/>
          <w:sz w:val="24"/>
          <w:u w:val="none"/>
          <w:szCs w:val="24"/>
          <w:rtl w:val="1"/>
        </w:rPr>
        <w:t>מתכבד המשיב להגיש את תגובתו לבקשת המבקשת בעניין המדור (להלן: "הבקשה"). כבוד בית הדין הנכבד מתבקש בזאת לדחות את הבקשה על כל חלקיה, ולחייב את המבקשת בהוצאות המשיב, ואלו נימוקי התגובה:</w:t>
      </w:r>
    </w:p>
    <w:p>
      <w:pPr>
        <w:bidi/>
        <w:spacing w:line="360" w:lineRule="auto" w:after="120"/>
        <w:ind w:left="425" w:hanging="425"/>
        <w:jc w:val="both"/>
      </w:pPr>
      <w:r>
        <w:rPr>
          <w:rFonts w:ascii="David" w:hAnsi="David" w:cs="David" w:eastAsia="David"/>
          <w:b w:val="0"/>
          <w:sz w:val="24"/>
          <w:u w:val="none"/>
          <w:szCs w:val="24"/>
          <w:rtl w:val="1"/>
        </w:rPr>
        <w:t>1.</w:t>
        <w:tab/>
      </w:r>
      <w:r>
        <w:rPr>
          <w:rFonts w:ascii="David" w:hAnsi="David" w:cs="David" w:eastAsia="David"/>
          <w:b w:val="0"/>
          <w:sz w:val="24"/>
          <w:u w:val="none"/>
          <w:szCs w:val="24"/>
          <w:rtl w:val="1"/>
        </w:rPr>
        <w:t>הבקשה הוגשה ללא כל אסמכתא. המבקשת נוקבת בבקשתה בשורת סכומים בגין רכיבי מדור והוצאות שונות — שכר דירה, חשמל, מים, גז, כבלים וארנונה — אלא שלא צירפה לה ולו קבלה, חשבונית או אסמכתא אחת התומכת בהם. בקשה כספית הנוקבת בסכומים בלא כל אסמכתא אינה עומדת בסטנדרט הראוי, ודינה להידחות ולו מטעם זה בלבד.</w:t>
      </w:r>
    </w:p>
    <w:p>
      <w:pPr>
        <w:bidi/>
        <w:spacing w:line="360" w:lineRule="auto" w:after="120"/>
        <w:ind w:left="425" w:hanging="425"/>
        <w:jc w:val="both"/>
      </w:pPr>
      <w:r>
        <w:rPr>
          <w:rFonts w:ascii="David" w:hAnsi="David" w:cs="David" w:eastAsia="David"/>
          <w:b w:val="0"/>
          <w:sz w:val="24"/>
          <w:u w:val="none"/>
          <w:szCs w:val="24"/>
          <w:rtl w:val="1"/>
        </w:rPr>
        <w:t>2.</w:t>
        <w:tab/>
      </w:r>
      <w:r>
        <w:rPr>
          <w:rFonts w:ascii="David" w:hAnsi="David" w:cs="David" w:eastAsia="David"/>
          <w:b w:val="0"/>
          <w:sz w:val="24"/>
          <w:u w:val="none"/>
          <w:szCs w:val="24"/>
          <w:rtl w:val="1"/>
        </w:rPr>
        <w:t>ודוק; המבקשת עצמה מודה בבקשתה כי ביכולתה לצרף קבלות בגין התשלומים שנקבה בהם — ואף על פי כן בחרה שלא לצרפן. משבחרה המבקשת שלא להניח בפני בית הדין הנכבד ולו תשתית ראייתית מינימלית, אין הוא יכול לכמת את הנטען, וממילא לא ניתן להיעתר לבקשה. "המוציא מחברו עליו הראיה".</w:t>
      </w:r>
    </w:p>
    <w:p>
      <w:pPr>
        <w:bidi/>
        <w:spacing w:line="360" w:lineRule="auto" w:after="120"/>
        <w:ind w:left="425" w:hanging="425"/>
        <w:jc w:val="both"/>
      </w:pPr>
      <w:r>
        <w:rPr>
          <w:rFonts w:ascii="David" w:hAnsi="David" w:cs="David" w:eastAsia="David"/>
          <w:b w:val="0"/>
          <w:sz w:val="24"/>
          <w:u w:val="none"/>
          <w:szCs w:val="24"/>
          <w:rtl w:val="1"/>
        </w:rPr>
        <w:t>3.</w:t>
        <w:tab/>
      </w:r>
      <w:r>
        <w:rPr>
          <w:rFonts w:ascii="David" w:hAnsi="David" w:cs="David" w:eastAsia="David"/>
          <w:b w:val="0"/>
          <w:sz w:val="24"/>
          <w:u w:val="none"/>
          <w:szCs w:val="24"/>
          <w:rtl w:val="1"/>
        </w:rPr>
        <w:t>זאת ועוד; המבקשת מעולם לא פנתה אל המשיב בטרם הגישה את בקשתה — לא כדי לברר עמו את הדברים, לא כדי להציג בפניו את החשבונות הנטענים, ולא כדי לבקש ממנו דבר. תחת דיון ובירור בתום לב, מיהרה המבקשת אל בית הדין הנכבד, שלא לצורך.</w:t>
      </w:r>
    </w:p>
    <w:p>
      <w:pPr>
        <w:bidi/>
        <w:spacing w:line="360" w:lineRule="auto" w:after="120"/>
        <w:ind w:left="425" w:hanging="425"/>
        <w:jc w:val="both"/>
      </w:pPr>
      <w:r>
        <w:rPr>
          <w:rFonts w:ascii="David" w:hAnsi="David" w:cs="David" w:eastAsia="David"/>
          <w:b w:val="0"/>
          <w:sz w:val="24"/>
          <w:u w:val="none"/>
          <w:szCs w:val="24"/>
          <w:rtl w:val="1"/>
        </w:rPr>
        <w:t>4.</w:t>
        <w:tab/>
      </w:r>
      <w:r>
        <w:rPr>
          <w:rFonts w:ascii="David" w:hAnsi="David" w:cs="David" w:eastAsia="David"/>
          <w:b w:val="0"/>
          <w:sz w:val="24"/>
          <w:u w:val="none"/>
          <w:szCs w:val="24"/>
          <w:rtl w:val="1"/>
        </w:rPr>
        <w:t>ויודגש; המשיב נושא בתשלומי המזונות במלואם, כסדרם, בזמן ובמועד, ואינו מפגר בהם ולו ביום אחד. המבקשת אינה טוענת אחרת, אף אינה יכולה לטעון אחרת.</w:t>
      </w:r>
    </w:p>
    <w:p>
      <w:pPr>
        <w:keepNext/>
        <w:bidi/>
        <w:spacing w:line="360" w:lineRule="auto" w:after="80" w:before="160"/>
        <w:jc w:val="right"/>
      </w:pPr>
      <w:r>
        <w:rPr>
          <w:rFonts w:ascii="David" w:hAnsi="David" w:cs="David" w:eastAsia="David"/>
          <w:b/>
          <w:sz w:val="24"/>
          <w:u w:val="single"/>
          <w:szCs w:val="24"/>
          <w:rtl w:val="1"/>
          <w:bCs/>
          <w:u w:val="single"/>
        </w:rPr>
        <w:t>על חוסר תום הלב שביסוד הבקשה</w:t>
      </w:r>
    </w:p>
    <w:p>
      <w:pPr>
        <w:bidi/>
        <w:spacing w:line="360" w:lineRule="auto" w:after="120"/>
        <w:ind w:left="425" w:hanging="425"/>
        <w:jc w:val="both"/>
      </w:pPr>
      <w:r>
        <w:rPr>
          <w:rFonts w:ascii="David" w:hAnsi="David" w:cs="David" w:eastAsia="David"/>
          <w:b w:val="0"/>
          <w:sz w:val="24"/>
          <w:u w:val="none"/>
          <w:szCs w:val="24"/>
          <w:rtl w:val="1"/>
        </w:rPr>
        <w:t>5.</w:t>
        <w:tab/>
      </w:r>
      <w:r>
        <w:rPr>
          <w:rFonts w:ascii="David" w:hAnsi="David" w:cs="David" w:eastAsia="David"/>
          <w:b w:val="0"/>
          <w:sz w:val="24"/>
          <w:u w:val="none"/>
          <w:szCs w:val="24"/>
          <w:rtl w:val="1"/>
        </w:rPr>
        <w:t>המשיב יטען כי אין הבקשה דנא אלא ניצול ציני ונקמני של ההליך. ביסודה עומדת טינה שרוחשת המבקשת למשיב על שנשא אישה בשנית — דבר שהמבקשת אינה רואה בעין יפה, בלשון המעטה. הבקשה, על עמימותה ועל היעדר האסמכתאות שבה, אינה אלא כלי בידי המבקשת להוסיף ולהתיש את המשיב.</w:t>
      </w:r>
    </w:p>
    <w:p>
      <w:pPr>
        <w:bidi/>
        <w:spacing w:line="360" w:lineRule="auto" w:after="120"/>
        <w:ind w:left="425" w:hanging="425"/>
        <w:jc w:val="both"/>
      </w:pPr>
      <w:r>
        <w:rPr>
          <w:rFonts w:ascii="David" w:hAnsi="David" w:cs="David" w:eastAsia="David"/>
          <w:b w:val="0"/>
          <w:sz w:val="24"/>
          <w:u w:val="none"/>
          <w:szCs w:val="24"/>
          <w:rtl w:val="1"/>
        </w:rPr>
        <w:t>6.</w:t>
        <w:tab/>
      </w:r>
      <w:r>
        <w:rPr>
          <w:rFonts w:ascii="David" w:hAnsi="David" w:cs="David" w:eastAsia="David"/>
          <w:b w:val="0"/>
          <w:sz w:val="24"/>
          <w:u w:val="none"/>
          <w:szCs w:val="24"/>
          <w:rtl w:val="1"/>
        </w:rPr>
        <w:t>מכל מקום, ולגופם של דברים, שומר המשיב על מלוא זכויותיו וטענותיו באשר לרכיבי המדור וההוצאות הנטענים — לרבות באשר להיקפם, לזיקתם לחיובים שכבר נפסקו, ולעצם החבות בהם — וזאת אך לאחר שתונח בפני בית הדין הנכבד תשתית אסמכתאות מלאה כדין.</w:t>
      </w:r>
    </w:p>
    <w:p>
      <w:pPr>
        <w:bidi/>
        <w:spacing w:line="360" w:lineRule="auto" w:after="120"/>
        <w:ind w:left="425" w:hanging="425"/>
        <w:jc w:val="both"/>
      </w:pPr>
      <w:r>
        <w:rPr>
          <w:rFonts w:ascii="David" w:hAnsi="David" w:cs="David" w:eastAsia="David"/>
          <w:b w:val="0"/>
          <w:sz w:val="24"/>
          <w:u w:val="none"/>
          <w:szCs w:val="24"/>
          <w:rtl w:val="1"/>
        </w:rPr>
        <w:t>7.</w:t>
        <w:tab/>
      </w:r>
      <w:r>
        <w:rPr>
          <w:rFonts w:ascii="David" w:hAnsi="David" w:cs="David" w:eastAsia="David"/>
          <w:b w:val="0"/>
          <w:sz w:val="24"/>
          <w:u w:val="none"/>
          <w:szCs w:val="24"/>
          <w:rtl w:val="1"/>
        </w:rPr>
        <w:t>אשר על כל המקובץ לעיל, מתבקש כבוד בית הדין הנכבד לדחות את הבקשה על כל חלקיה, ולחייב את המבקשת בהוצאות המשיב.</w:t>
      </w:r>
    </w:p>
    <w:p>
      <w:pPr>
        <w:bidi/>
        <w:spacing w:line="360" w:lineRule="auto" w:after="160" w:before="0"/>
        <w:jc w:val="both"/>
      </w:pPr>
    </w:p>
    <w:p>
      <w:pPr>
        <w:bidi/>
        <w:spacing w:line="360" w:lineRule="auto" w:after="0" w:before="0"/>
        <w:jc w:val="right"/>
      </w:pPr>
      <w:r>
        <w:rPr>
          <w:rFonts w:ascii="David" w:hAnsi="David" w:cs="David" w:eastAsia="David"/>
          <w:b w:val="0"/>
          <w:sz w:val="24"/>
          <w:u w:val="none"/>
          <w:szCs w:val="24"/>
          <w:rtl w:val="1"/>
        </w:rPr>
        <w:t>_________________________</w:t>
      </w:r>
    </w:p>
    <w:p>
      <w:pPr>
        <w:bidi/>
        <w:spacing w:line="360" w:lineRule="auto" w:after="0" w:before="0"/>
        <w:jc w:val="right"/>
      </w:pPr>
      <w:r>
        <w:rPr>
          <w:rFonts w:ascii="David" w:hAnsi="David" w:cs="David" w:eastAsia="David"/>
          <w:b w:val="0"/>
          <w:sz w:val="24"/>
          <w:u w:val="none"/>
          <w:szCs w:val="24"/>
          <w:rtl w:val="1"/>
        </w:rPr>
        <w:t>____________, עו"ד</w:t>
      </w:r>
    </w:p>
    <w:p>
      <w:pPr>
        <w:bidi/>
        <w:spacing w:line="360" w:lineRule="auto" w:after="0" w:before="0"/>
        <w:jc w:val="right"/>
      </w:pPr>
      <w:r>
        <w:rPr>
          <w:rFonts w:ascii="David" w:hAnsi="David" w:cs="David" w:eastAsia="David"/>
          <w:b w:val="0"/>
          <w:sz w:val="24"/>
          <w:u w:val="none"/>
          <w:szCs w:val="24"/>
          <w:rtl w:val="1"/>
        </w:rPr>
        <w:t>ב"כ המשיב</w:t>
      </w:r>
    </w:p>
    <w:sectPr w:rsidR="00FC693F" w:rsidRPr="0006063C" w:rsidSect="00034616">
      <w:footerReference w:type="default" r:id="rId9"/>
      <w:pgSz w:w="11906" w:h="16838"/>
      <w:pgMar w:top="850" w:right="1417" w:bottom="646"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eastAsia="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