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auto" w:line="240" w:after="40" w:before="0"/>
        <w:jc w:val="center"/>
      </w:pPr>
      <w:r>
        <w:rPr>
          <w:rFonts w:ascii="David" w:hAnsi="David" w:cs="David" w:eastAsia="David" w:hint="cs"/>
          <w:b/>
          <w:bCs w:val="1"/>
          <w:sz w:val="28"/>
          <w:szCs w:val="28"/>
          <w:u w:val="single"/>
          <w:rtl w:val="1"/>
          <w:lang w:bidi="he-IL"/>
        </w:rPr>
        <w:t>בית משפט השלום בפתח תקווה</w:t>
      </w:r>
    </w:p>
    <w:p>
      <w:pPr>
        <w:bidi w:val="1"/>
        <w:spacing w:lineRule="auto" w:line="240" w:after="160" w:before="0"/>
        <w:jc w:val="center"/>
      </w:pPr>
      <w:r>
        <w:rPr>
          <w:rFonts w:ascii="David" w:hAnsi="David" w:cs="David" w:eastAsia="David" w:hint="cs"/>
          <w:b w:val="0"/>
          <w:sz w:val="24"/>
          <w:szCs w:val="24"/>
          <w:u w:val="none"/>
          <w:rtl w:val="1"/>
          <w:lang w:bidi="he-IL"/>
        </w:rPr>
        <w:t>מחוז מרכז        ת"א ______________</w:t>
      </w:r>
    </w:p>
    <w:p>
      <w:pPr>
        <w:bidi w:val="1"/>
        <w:spacing w:lineRule="auto" w:line="240" w:after="40" w:before="0"/>
        <w:jc w:val="both"/>
      </w:pPr>
    </w:p>
    <w:p>
      <w:pPr>
        <w:bidi w:val="1"/>
        <w:spacing w:lineRule="auto" w:line="240" w:after="80" w:before="0"/>
        <w:jc w:val="left"/>
      </w:pPr>
      <w:r>
        <w:rPr>
          <w:rFonts w:ascii="David" w:hAnsi="David" w:cs="David" w:eastAsia="David" w:hint="cs"/>
          <w:b/>
          <w:bCs w:val="1"/>
          <w:sz w:val="24"/>
          <w:szCs w:val="24"/>
          <w:u w:val="single"/>
          <w:rtl w:val="1"/>
          <w:lang w:bidi="he-IL"/>
        </w:rPr>
        <w:t>בעניין:</w:t>
      </w:r>
    </w:p>
    <w:p>
      <w:pPr>
        <w:bidi w:val="1"/>
        <w:spacing w:lineRule="auto" w:line="240" w:after="0" w:before="0"/>
        <w:ind w:left="850"/>
        <w:jc w:val="left"/>
      </w:pPr>
      <w:r>
        <w:rPr>
          <w:rFonts w:ascii="David" w:hAnsi="David" w:cs="David" w:eastAsia="David" w:hint="cs"/>
          <w:b/>
          <w:bCs w:val="1"/>
          <w:sz w:val="24"/>
          <w:szCs w:val="24"/>
          <w:u w:val="none"/>
          <w:rtl w:val="1"/>
          <w:lang w:bidi="he-IL"/>
        </w:rPr>
        <w:t>עמידר החברה הלאומית לשיכון בישראל בע"מ, ח.פ. 520017393</w:t>
      </w:r>
    </w:p>
    <w:p>
      <w:pPr>
        <w:bidi w:val="1"/>
        <w:spacing w:lineRule="auto" w:line="240" w:after="0" w:before="0"/>
        <w:ind w:left="850"/>
        <w:jc w:val="left"/>
      </w:pPr>
      <w:r>
        <w:rPr>
          <w:rFonts w:ascii="David" w:hAnsi="David" w:cs="David" w:eastAsia="David" w:hint="cs"/>
          <w:b w:val="0"/>
          <w:sz w:val="24"/>
          <w:szCs w:val="24"/>
          <w:u w:val="none"/>
          <w:rtl w:val="1"/>
          <w:lang w:bidi="he-IL"/>
        </w:rPr>
        <w:t>ע"י ב"כ עוה"ד ליאור סיגון (מ.ר. 57413) ו/או ג'וזף דוד ואח'</w:t>
      </w:r>
    </w:p>
    <w:p>
      <w:pPr>
        <w:bidi w:val="1"/>
        <w:spacing w:lineRule="auto" w:line="240" w:after="0" w:before="0"/>
        <w:ind w:left="850"/>
        <w:jc w:val="left"/>
      </w:pPr>
      <w:r>
        <w:rPr>
          <w:rFonts w:ascii="David" w:hAnsi="David" w:cs="David" w:eastAsia="David" w:hint="cs"/>
          <w:b w:val="0"/>
          <w:sz w:val="24"/>
          <w:szCs w:val="24"/>
          <w:u w:val="none"/>
          <w:rtl w:val="1"/>
          <w:lang w:bidi="he-IL"/>
        </w:rPr>
        <w:t>מרח' מצדה 9, מגדל ב.ס.ר 3, קומה 6; טל': 03-9451451</w:t>
      </w:r>
    </w:p>
    <w:p>
      <w:pPr>
        <w:bidi w:val="1"/>
        <w:spacing w:lineRule="auto" w:line="240" w:after="80" w:before="0"/>
        <w:jc w:val="right"/>
      </w:pPr>
      <w:r>
        <w:rPr>
          <w:rFonts w:ascii="David" w:hAnsi="David" w:cs="David" w:eastAsia="David" w:hint="cs"/>
          <w:b/>
          <w:bCs w:val="1"/>
          <w:sz w:val="24"/>
          <w:szCs w:val="24"/>
          <w:u w:val="single"/>
          <w:rtl w:val="1"/>
          <w:lang w:bidi="he-IL"/>
        </w:rPr>
        <w:t>התובעת;</w:t>
      </w:r>
    </w:p>
    <w:p>
      <w:pPr>
        <w:bidi w:val="1"/>
        <w:spacing w:lineRule="auto" w:line="240" w:after="80" w:before="0"/>
        <w:jc w:val="center"/>
      </w:pPr>
      <w:r>
        <w:rPr>
          <w:rFonts w:ascii="David" w:hAnsi="David" w:cs="David" w:eastAsia="David" w:hint="cs"/>
          <w:b/>
          <w:bCs w:val="1"/>
          <w:sz w:val="24"/>
          <w:szCs w:val="24"/>
          <w:u w:val="none"/>
          <w:rtl w:val="1"/>
          <w:lang w:bidi="he-IL"/>
        </w:rPr>
        <w:t>- נ ג ד -</w:t>
      </w:r>
    </w:p>
    <w:p>
      <w:pPr>
        <w:bidi w:val="1"/>
        <w:spacing w:lineRule="auto" w:line="240" w:after="0" w:before="0"/>
        <w:ind w:left="850"/>
        <w:jc w:val="left"/>
      </w:pPr>
      <w:r>
        <w:rPr>
          <w:rFonts w:ascii="David" w:hAnsi="David" w:cs="David" w:eastAsia="David" w:hint="cs"/>
          <w:b/>
          <w:bCs w:val="1"/>
          <w:sz w:val="24"/>
          <w:szCs w:val="24"/>
          <w:u w:val="none"/>
          <w:rtl w:val="1"/>
          <w:lang w:bidi="he-IL"/>
        </w:rPr>
        <w:t>טדילה וונדימאג'ן, ת.⁠ז.⁠ 303214373</w:t>
      </w:r>
    </w:p>
    <w:p>
      <w:pPr>
        <w:bidi w:val="1"/>
        <w:spacing w:lineRule="auto" w:line="240" w:after="0" w:before="0"/>
        <w:ind w:left="850"/>
        <w:jc w:val="left"/>
      </w:pPr>
      <w:r>
        <w:rPr>
          <w:rFonts w:ascii="David" w:hAnsi="David" w:cs="David" w:eastAsia="David" w:hint="cs"/>
          <w:b w:val="0"/>
          <w:sz w:val="24"/>
          <w:szCs w:val="24"/>
          <w:u w:val="none"/>
          <w:rtl w:val="1"/>
          <w:lang w:bidi="he-IL"/>
        </w:rPr>
        <w:t>מרח' צה"ל 72/6, פתח תקווה</w:t>
      </w:r>
    </w:p>
    <w:p>
      <w:pPr>
        <w:bidi w:val="1"/>
        <w:spacing w:lineRule="auto" w:line="240" w:after="0" w:before="0"/>
        <w:ind w:left="850"/>
        <w:jc w:val="left"/>
      </w:pPr>
      <w:r>
        <w:rPr>
          <w:rFonts w:ascii="David" w:hAnsi="David" w:cs="David" w:eastAsia="David" w:hint="cs"/>
          <w:b w:val="0"/>
          <w:sz w:val="24"/>
          <w:szCs w:val="24"/>
          <w:u w:val="none"/>
          <w:rtl w:val="1"/>
          <w:lang w:bidi="he-IL"/>
        </w:rPr>
        <w:t>ע"י ב"כ עו"ד ______________, מ.ר. __________</w:t>
      </w:r>
    </w:p>
    <w:p>
      <w:pPr>
        <w:bidi w:val="1"/>
        <w:spacing w:lineRule="auto" w:line="240" w:after="0" w:before="0"/>
        <w:ind w:left="850"/>
        <w:jc w:val="left"/>
      </w:pPr>
      <w:r>
        <w:rPr>
          <w:rFonts w:ascii="David" w:hAnsi="David" w:cs="David" w:eastAsia="David" w:hint="cs"/>
          <w:b w:val="0"/>
          <w:sz w:val="24"/>
          <w:szCs w:val="24"/>
          <w:u w:val="none"/>
          <w:rtl w:val="1"/>
          <w:lang w:bidi="he-IL"/>
        </w:rPr>
        <w:t>מרח' ______________; טל': __________; דוא"ל: ______________</w:t>
      </w:r>
    </w:p>
    <w:p>
      <w:pPr>
        <w:bidi w:val="1"/>
        <w:spacing w:lineRule="auto" w:line="240" w:after="80" w:before="0"/>
        <w:jc w:val="right"/>
      </w:pPr>
      <w:r>
        <w:rPr>
          <w:rFonts w:ascii="David" w:hAnsi="David" w:cs="David" w:eastAsia="David" w:hint="cs"/>
          <w:b/>
          <w:bCs w:val="1"/>
          <w:sz w:val="24"/>
          <w:szCs w:val="24"/>
          <w:u w:val="single"/>
          <w:rtl w:val="1"/>
          <w:lang w:bidi="he-IL"/>
        </w:rPr>
        <w:t>הנתבעת;</w:t>
      </w:r>
    </w:p>
    <w:p>
      <w:pPr>
        <w:bidi w:val="1"/>
        <w:spacing w:lineRule="auto" w:line="240" w:after="40" w:before="0"/>
        <w:jc w:val="both"/>
      </w:pPr>
    </w:p>
    <w:p>
      <w:pPr>
        <w:bidi w:val="1"/>
        <w:spacing w:lineRule="auto" w:line="240" w:after="80" w:before="0"/>
        <w:jc w:val="left"/>
      </w:pPr>
      <w:r>
        <w:rPr>
          <w:rFonts w:ascii="David" w:hAnsi="David" w:cs="David" w:eastAsia="David" w:hint="cs"/>
          <w:b w:val="0"/>
          <w:sz w:val="24"/>
          <w:szCs w:val="24"/>
          <w:u w:val="none"/>
          <w:rtl w:val="1"/>
          <w:lang w:bidi="he-IL"/>
        </w:rPr>
        <w:t>דבר קיומו של הליך נוסף בקשר למסכת עובדתית דומה שהנתבעת צד לו או היתה צד לו: אין.</w:t>
      </w:r>
    </w:p>
    <w:p>
      <w:pPr>
        <w:bidi w:val="1"/>
        <w:spacing w:lineRule="auto" w:line="240" w:after="80" w:before="0"/>
        <w:jc w:val="left"/>
      </w:pPr>
      <w:r>
        <w:rPr>
          <w:rFonts w:ascii="David" w:hAnsi="David" w:cs="David" w:eastAsia="David" w:hint="cs"/>
          <w:b w:val="0"/>
          <w:sz w:val="24"/>
          <w:szCs w:val="24"/>
          <w:u w:val="none"/>
          <w:rtl w:val="1"/>
          <w:lang w:bidi="he-IL"/>
        </w:rPr>
        <w:t>מועד המצאת כתב התביעה לנתבעת: יום __________. המועד האחרון להגשת כתב ההגנה, בהתאם להחלטה בדבר הארכת מועד: יום 4.9.2026.</w:t>
      </w:r>
    </w:p>
    <w:p>
      <w:pPr>
        <w:bidi w:val="1"/>
        <w:spacing w:lineRule="auto" w:line="240" w:after="200" w:before="200"/>
        <w:jc w:val="center"/>
      </w:pPr>
      <w:r>
        <w:rPr>
          <w:rFonts w:ascii="David" w:hAnsi="David" w:cs="David" w:eastAsia="David" w:hint="cs"/>
          <w:b/>
          <w:bCs w:val="1"/>
          <w:sz w:val="32"/>
          <w:szCs w:val="32"/>
          <w:u w:val="single"/>
          <w:rtl w:val="1"/>
          <w:lang w:bidi="he-IL"/>
        </w:rPr>
        <w:t>כתב הגנה</w:t>
      </w:r>
    </w:p>
    <w:p>
      <w:pPr>
        <w:bidi w:val="1"/>
        <w:spacing w:lineRule="auto" w:line="360" w:after="120" w:before="0"/>
        <w:jc w:val="both"/>
      </w:pPr>
      <w:r>
        <w:rPr>
          <w:rFonts w:ascii="David" w:hAnsi="David" w:cs="David" w:eastAsia="David" w:hint="cs"/>
          <w:b w:val="0"/>
          <w:sz w:val="24"/>
          <w:szCs w:val="24"/>
          <w:u w:val="none"/>
          <w:rtl w:val="1"/>
          <w:lang w:bidi="he-IL"/>
        </w:rPr>
        <w:t>הנתבעת מתכבדת להגיש כתב הגנה מטעמה. כל הטענות הנטענות בכתב התביעה מוכחשות, למעט אם צוין במפורש אחרת. בכתב הגנה זה: "הדירה" היא הדירה שבכותרת; "המנוח" הוא מר מנבר וונדימאג'ן ז"ל, אביה של הנתבעת ובעל החוזה; "טופסי הביקור" הם הטפסים שבנספח 2; ו"הפרוטוקול" הוא המסמך שבנספח 4.</w:t>
      </w:r>
    </w:p>
    <w:p>
      <w:pPr>
        <w:keepNext w:val="1"/>
        <w:keepLines w:val="1"/>
        <w:bidi w:val="1"/>
        <w:spacing w:lineRule="auto" w:line="360" w:after="160" w:before="0"/>
        <w:jc w:val="center"/>
      </w:pPr>
      <w:r>
        <w:rPr>
          <w:rFonts w:ascii="David" w:hAnsi="David" w:cs="David" w:eastAsia="David" w:hint="cs"/>
          <w:b/>
          <w:bCs w:val="1"/>
          <w:sz w:val="28"/>
          <w:szCs w:val="28"/>
          <w:u w:val="single"/>
          <w:rtl w:val="1"/>
          <w:lang w:bidi="he-IL"/>
        </w:rPr>
        <w:t>חלק שני: עיקר הטענות</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טענות מקדמיות</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אביה של הנתבעת, בעל החוזה, הלך לעולמו ביום 16.2.2024. הנתבעת סעדה אותו עד יומו האחרון, מתגוררת בדירה מאז, והתובעת עותרת לסלקה ממנה בטענה כי "פלשה" אליה. הסעד המבוקש נשען כל כולו על החלטה מנהלית אחת, היא החלטת ועדת הלגליזציה מיום 2.9.2024, הלוקה בשלושה פגמים שכל אחד מהם עומד בפני עצמו.</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 xml:space="preserve">ראשית, ולב העניין: </w:t>
      </w:r>
      <w:r>
        <w:rPr>
          <w:rFonts w:ascii="David" w:hAnsi="David" w:cs="David" w:eastAsia="David" w:hint="cs"/>
          <w:b/>
          <w:bCs w:val="1"/>
          <w:sz w:val="24"/>
          <w:szCs w:val="24"/>
          <w:u w:val="single"/>
          <w:rtl w:val="1"/>
          <w:lang w:bidi="he-IL"/>
        </w:rPr>
        <w:t>תבחיני הזכאות לא נבדקו כלל</w:t>
      </w:r>
      <w:r>
        <w:rPr>
          <w:rFonts w:ascii="David" w:hAnsi="David" w:cs="David" w:eastAsia="David" w:hint="cs"/>
          <w:b w:val="0"/>
          <w:sz w:val="24"/>
          <w:szCs w:val="24"/>
          <w:u w:val="none"/>
          <w:rtl w:val="1"/>
          <w:lang w:bidi="he-IL"/>
        </w:rPr>
        <w:t>. בפרוטוקול קבועה טבלה שבה נדרש סגן מנהל מרכז השירות לציין את ממצאיו בסעיפי "חסר דירה", "מומש סיוע בשכ"ד", "כתובות" ו"גבולות". הטבלה נותרה, בכל שורותיה, ללא כל סימון; שם סגן המנהל וחתימתו נותרו ריקים אף הם. משכך, הקביעה שבסעיף 19 לכתב התביעה, ולפיה לא עמדה הנתבעת בנטל התבחינים המצטברים, אינה קביעה אלא הנחה; הנטל מוטל על התובעת, ולא הורם משום שמעולם לא נבדק.</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שנית, לא נערך שימוע, לא מולא שדה הנימוקים ולא בוצעה המצאה. אין בפרוטוקול זכר לכך שהנתבעת זומנה, נשמעה או יוצגה. השדה "נימוקים והמלצות" נותר ריק כליל, וכל שנרשם תחת "החלטת הוועדה המחוזית" הן שתי שורות בכתב יד, שאינן מתייחסות לאיזה מן התבחינים. לא הוצגה כל ראיה כי ההחלטה הומצאה לנתבעת או כי הועמדה על זכותה להשיג עליה.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שלישית, הוראת המעבר הוחלה באורח בלתי סביר. על גבי הפרוטוקול מודפסת הדרישה לביקורי מעגל לדייר הממשיך "מתאריך 1.8.09 ועד מועד הבקשה ולא פחות מ-4 שנות מגורים רצופות", שמקורה בסעיף 70(א) לחוק ההתייעלות הכלכלית (תיקוני חקיקה ליישום התכנית הכלכלית לשנים 2009 ו-2010), התשס"ט-2009. המחלוקת הפרשנית סביב הוראה זו הוכרעה רק ביום 1.7.2026, ברע"א 1705/24 פרזות נ' אוחיון, ולפיה נדרשים זיקה משפחתית, מגורים בדירה ביום הקובע, וארבע שנות מגורים רצופות המסתיימות במועד הפטירה, מבלי שהתקופות חייבות להיות רצופות זו לזו. ההחלטה נשוא התביעה נתקבלה ביום 2.9.2024, בטרם הוכרעה הפרשנות, ובלא שנבדקה ולו אחת מן העובדות שההוראה מחייבת לבדוק. החלה כזו, אוטומטית ובלא בירור, חורגת ממתחם הסבירות. החלטה מנהלית הפוגעת בזכות לקורת גג, שהתקבלה בלא בדיקה, בלא שימוע, בלא הנמקה ובלא המצאה, בטלה; ובית המשפט הנכבד מתבקש לקבוע כן בדרך של תקיפה עקיפה.</w:t>
      </w:r>
    </w:p>
    <w:p>
      <w:pPr>
        <w:keepNext w:val="1"/>
        <w:keepLines w:val="1"/>
        <w:bidi w:val="1"/>
        <w:spacing w:lineRule="auto" w:line="360" w:after="60" w:before="100"/>
        <w:jc w:val="left"/>
      </w:pPr>
      <w:r>
        <w:rPr>
          <w:rFonts w:ascii="David" w:hAnsi="David" w:cs="David" w:eastAsia="David" w:hint="cs"/>
          <w:b/>
          <w:bCs w:val="1"/>
          <w:sz w:val="24"/>
          <w:szCs w:val="24"/>
          <w:u w:val="single"/>
          <w:rtl w:val="1"/>
          <w:lang w:bidi="he-IL"/>
        </w:rPr>
        <w:t>היעדר עילה: הנתבעת אינה "פולשת"</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הנתבעת גדלה בדירה, נכנסה אליה ברשות אביה, שבה להתגורר בה כדי לסעוד אותו בחודשים שקדמו לפטירתו, ונותרה בה לאחר מכן. מי שאלה נסיבות כניסתה אינה "פולשת"; לכל היותר עסקינן בבת-רשות שרישיונה פקע, על כל המשתמע מכך לעניין הסעד ולשיקולי הצדק. יצוין כי במשבצת "חשש לנטישה/נטישה/פלישה" שבטופסי הביקור לא הוקף סימון מעולם; וכי התובעת הוסיפה לנהל את חשבון הדירה כחשבון פעיל ולזקוף בו הנחת מדרוג שתוקפה עד ליום 30.9.2024, חודשים לאחר הפטירה.</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תמצית טענות ההגנה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ראשית, ובניגוד לנטען בסעיפים 9 ו-15 לכתב התביעה, הנתבעת לא פלשה לדירה ולא תפסה בה חזקה שלא כדין. הדירה היא ביתה היחיד; אין לה דירה בבעלותה ומעולם לא היתה לה. נסיבות מגוריה מפורטות בחלק השלישי להלן, במלואן ובלא כחל ושרק, ולמען הזהירות תטען הנתבעת לחלופין כי מתקיימים בה תנאי הוראת המעבר, ולמצער כי השאלה לא נבדקה מעולם ומקומה להתברר בראיות.</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 xml:space="preserve">שנית, ובניגוד לנטען בסעיפים 10, 18 ו-19, </w:t>
      </w:r>
      <w:r>
        <w:rPr>
          <w:rFonts w:ascii="David" w:hAnsi="David" w:cs="David" w:eastAsia="David" w:hint="cs"/>
          <w:b/>
          <w:bCs w:val="1"/>
          <w:sz w:val="24"/>
          <w:szCs w:val="24"/>
          <w:u w:val="single"/>
          <w:rtl w:val="1"/>
          <w:lang w:bidi="he-IL"/>
        </w:rPr>
        <w:t>התובעת לא בחנה את עניינה של הנתבעת כלל</w:t>
      </w:r>
      <w:r>
        <w:rPr>
          <w:rFonts w:ascii="David" w:hAnsi="David" w:cs="David" w:eastAsia="David" w:hint="cs"/>
          <w:b w:val="0"/>
          <w:sz w:val="24"/>
          <w:szCs w:val="24"/>
          <w:u w:val="none"/>
          <w:rtl w:val="1"/>
          <w:lang w:bidi="he-IL"/>
        </w:rPr>
        <w:t>. היא לא בדקה היכן התגוררה ומתי, לא זימנה אותה, לא שמעה אותה ולא סימנה ולו תבחין אחד. אין בהחלטה שכך נתקבלה כדי לקבוע דבר, ומשבטלה, שומה על התובעת לשוב ולבחון את העניין מן היסוד.</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שלישית, המחלקה לשירותים חברתיים בעיריית פתח תקווה ביקשה בכתב להימנע מהוצאת הנתבעת מן הדירה. אישה נכה בשיעור 100%, המוכרת ברווחה, שסעדה את אביה עד מותו ואין לה קורת גג אחרת, מקיימת על פניה עילה לבחינה בפני הוועדה המוסמכת לבחינת מקרים חריגים; בחינה שמעולם לא נערכה.</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טיעונים לעניין הסעד המבוקש</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דין התביעה להידחות. סילוק יד הוא סעד שבשיקול דעת, ואין להיעתר לו שעה שהתובעת היא רשות ציבורית המבקשת להוציא אדם מביתו על יסוד החלטה שהתקבלה בלא שנבדק דבר.</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לחלופין בלבד, ומבלי לגרוע מן הטענה כי ההחלטה בטלה, מתבקש בית המשפט הנכבד להורות כי לא יינתן צו פינוי בטרם יובא עניינה של הנתבעת בפני הוועדה המוסמכת לבחינת מקרים חריגים, ובטרם תוסדר לה חלופת דיור הולמת; ולעכב את בירור התביעה עד למיצוי אותו הליך. פינוי אישה נכה בשיעור 100%, כעולה מנספח ב', מביתה היחיד אינו עולה בקנה אחד עם חוק-יסוד: כבוד האדם וחירותו. ולחלופי חלופין, לעכב את ביצוע הפינוי לתקופה משמעותית.</w:t>
      </w:r>
    </w:p>
    <w:p>
      <w:pPr>
        <w:keepNext w:val="1"/>
        <w:keepLines w:val="1"/>
        <w:bidi w:val="1"/>
        <w:spacing w:lineRule="auto" w:line="360" w:after="160" w:before="0"/>
        <w:jc w:val="center"/>
      </w:pPr>
      <w:r>
        <w:rPr>
          <w:rFonts w:ascii="David" w:hAnsi="David" w:cs="David" w:eastAsia="David" w:hint="cs"/>
          <w:b/>
          <w:bCs w:val="1"/>
          <w:sz w:val="28"/>
          <w:szCs w:val="28"/>
          <w:u w:val="single"/>
          <w:rtl w:val="1"/>
          <w:lang w:bidi="he-IL"/>
        </w:rPr>
        <w:t>חלק שלישי: טיעון עובדתי</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הרקע העובדתי</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בשנת 1996 נחתם בין התובעת לבין המנוח חוזה שכירות ביחס לדירה, ויום 8.8.1996 נקוב בו כתאריך מסירת החזקה המשוער, והוא גם התאריך שבשדה "תאריך אכלוס" בכל טופסי הביקור. המנוח, יליד 1943, עלה לישראל מאתיופיה בשנת 1991. הוא הלך לעולמו ביום 16.2.2024, ותעודת הפטירה שצורפה כנספח 3 נשלחה, לפי הרשום על גביה, אל הנתבעת בכתובת הדירה.</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נסיבות מגוריה של הנתבעת</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הנתבעת גדלה בדירה והתגוררה בה מילדותה. בשנים מאוחרות יותר, על רקע מתח וקשיים ששררו בינה לבין אביה, מצבה האישי והיותו אדם נוקשה, התקשתה להתגורר עמו ברציפות, והחזיקה דירה שכורה בסמוך כדי שיהיה בידה מקום לינה נפרד. הנתבעת לא נטשה את אביה ולא חדלה מלבקרו: היא הגיעה אליו בתדירות גבוהה, סייעה לו, הכינה עבורו אוכל ודאגה לצרכיו. הנתבעת הייתה קשורה בחוזה שכירות עד לחודש יולי 2024, אולם עזבה את הדירה השכורה כשבעה חודשים קודם לכן, בסמוך לחודש דצמבר 2023, ועברה לשהות לצד אביה ולסעוד אותו בתקופה שקדמה לפטירתו. מאז הפטירה מתגוררת הנתבעת בדירה ברציפות, והיא ביתה היחיד. חוזה השכירות אינו מצוי בידי הנתבעת. אין לה דירה בבעלותה ומעולם לא היתה לה.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לביסוס מגוריה תסתמך הנתבעת, בין היתר, על עדויות שכנים מאותו בניין המכירים אותה ואת המנוח עשרות שנים. כמו כן, תסתמך הנתבעת על מסמכים רשמיים, לרבות רישומי רשויות, רשומות רפואיות, דואר רשמי ומסמכים מוסדיים נוספים, אשר יוגשו במועד ובאופן שייקבעו על ידי בית המשפט הנכבד. דבר מכל אלה לא נבדק בידי התובעת מעולם.</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טופסי הביקור</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 xml:space="preserve">התובעת סומכת את תביעתה על טופסי הביקור, שמילאו נציגיה לצרכיה, ואלה סותרים זה את זה ואינם יכולים לשאת את המסקנה. בטופס מיום 18.12.2023, האחרון בחיי המנוח, נרשם: "נקבע מספר פעמים ביקור בית, הדייר אומר אני אהיה בבית, לא נמצא"; ביקור שבו לא נמצא הדייר אינו יכול ללמד על זהות המתגוררים בדירה, וחרף זאת הוטבעה עליו חותמת "מסרב לחתום". ובטופס מיום 3.7.2024, הביקור היחיד שנערך לאחר הפטירה, נרשם בשדה ההערות: "דייר חוזי נפטר , ביקור עם הבת עדן טדלה" [כך במקור]. "עדן" הוא שמה העברי של הנתבעת, והביקור נערך עמה בדירה. בהתאם לכך סומן בטבלה שבפרוטוקול, בשורת אותו ביקור, כי </w:t>
      </w:r>
      <w:r>
        <w:rPr>
          <w:rFonts w:ascii="David" w:hAnsi="David" w:cs="David" w:eastAsia="David" w:hint="cs"/>
          <w:b/>
          <w:bCs w:val="1"/>
          <w:sz w:val="24"/>
          <w:szCs w:val="24"/>
          <w:u w:val="single"/>
          <w:rtl w:val="1"/>
          <w:lang w:bidi="he-IL"/>
        </w:rPr>
        <w:t>דייר ממשיך מתגורר בדירה</w:t>
      </w:r>
      <w:r>
        <w:rPr>
          <w:rFonts w:ascii="David" w:hAnsi="David" w:cs="David" w:eastAsia="David" w:hint="cs"/>
          <w:b w:val="0"/>
          <w:sz w:val="24"/>
          <w:szCs w:val="24"/>
          <w:u w:val="none"/>
          <w:rtl w:val="1"/>
          <w:lang w:bidi="he-IL"/>
        </w:rPr>
        <w:t>. נציגת התובעת עצמה, אפוא, מצאה את הנתבעת מתגוררת בדירה ורשמה זאת בזמן אמת, ברישום מנהלי מטעם התובעת. ובאותה שורה עצמה סומן כי גם הדייר החוזי מתגורר בה, אדם שנפטר ארבעה חודשים וחצי קודם לכן.</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הצהרות המנוח</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הנתבעת אינה מכחישה את קיומן של ההצהרות. אלו טפסים אחידים שנוסחו בידי התובעת ונחתמו בידי המנוח, לא בידי הנתבעת, והם מתייחסים למועדים שבהם נחתמו ואינם מלמדים על התקופה שקדמה לפטירה. ותניה שבהצהרה, שתכליתה לשלול מראש מקרובי המנוח את מעמד הדייר הממשיך, אינה יכולה לעמוד: זכות סטטוטורית של מי שאינו חתום על הטופס אינה ניתנת לוויתור בידי החותם, ולו מטעמי תקנת הציבור שבסעיף 30 לחוק החוזים (חלק כללי), התשל"ג-1973.</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מכתב גורם הרווחה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 xml:space="preserve">בחודש יולי 2026 פנתה המחלקה לשירותים חברתיים "ירקון" שבעיריית פתח תקווה במכתב שעניינו הנתבעת (נספח א'), המוכרת באותה מחלקה כנתמכת (נספח ג'). במכתב נמסר כי הנתבעת "היתה מוכרת ברווחה לאורך שנים" וכי היא "בת 42 רווקה ללא ילדים מתמודדת עם נכות נפשית ופיברומיאלגיה, אינה עובדת ומקבלת קיצבה 100% נכות מביטוח לאומי". בסיפתו נאמר: "לאור זאת, נודה על כל התחשבות במצבה </w:t>
      </w:r>
      <w:r>
        <w:rPr>
          <w:rFonts w:ascii="David" w:hAnsi="David" w:cs="David" w:eastAsia="David" w:hint="cs"/>
          <w:b/>
          <w:bCs w:val="1"/>
          <w:sz w:val="24"/>
          <w:szCs w:val="24"/>
          <w:u w:val="single"/>
          <w:rtl w:val="1"/>
          <w:lang w:bidi="he-IL"/>
        </w:rPr>
        <w:t>והימנעות מהוצאתה מהדירה</w:t>
      </w:r>
      <w:r>
        <w:rPr>
          <w:rFonts w:ascii="David" w:hAnsi="David" w:cs="David" w:eastAsia="David" w:hint="cs"/>
          <w:b w:val="0"/>
          <w:sz w:val="24"/>
          <w:szCs w:val="24"/>
          <w:u w:val="none"/>
          <w:rtl w:val="1"/>
          <w:lang w:bidi="he-IL"/>
        </w:rPr>
        <w:t xml:space="preserve"> בה מתגוררת מזה 30 שנה" [ההדגשה של הח"מ]. התובעת קיבלה את החלטתה מבלי שפנתה לגורמי הרווחה; ומשנשלח המכתב לאחר מתן ההחלטה, קמה חובה לשוב ולבחון את העניין לאורו.</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התייחסות לטענות כתב התביעה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הנטען בסעיפים 1, 5, 6, 7, 13 ו-17 אינו מוכחש. הנטען בסעיפים 8 ו-14 אינו מוכחש, למעט המילה "בעבר", ובכפוף לסעיף 2(ז) לחוזה, המתנה את סיום השכירות בהודעה בכתב שישים יום מראש. הודעה כאמור לא צורפה ולא נטענה.</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הנטען בסעיפים 2, 9 ו-15 מוכחש מכל וכל: הנתבעת אינה פולשת ואינה מחזיקה בדירה שלא כדין. הנטען בסעיפים 3, 4, 23 ו-24 מוכחש; אין התובעת זכאית לסעד כלשהו, וממילא לא להוצאות מוגברות.</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הנטען בסעיף 10 מוכחש: הגוף שדן בעניינה של הנתבעת הוא ועדה פנימית של התובעת, שלא שמעה אותה ולא בחנה את התבחינים. ביחס לסעיף 18: אין הכחשה לעצם קיומו של המסמך שבנספח 4, ומוכחש כי המדובר בהחלטה שנתקבלה כדין. הנטען בסעיפים 16 ו-19 מוכחש: אין הכחשה לקיומם של הטפסים וההצהרות, אך המסקנה המבוקשת מהם מוכחשת כמפורט לעיל. הנטען בסעיף 11 מוכחש; לא צורפה ולו דרישת פינוי אחת. סעיפים 12 ו-20 אינם טענות שבעובדה ואינם טעונים הכחשה. הנטען בסעיפים 21 ו-22 מוכחש.</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סוף דבר</w:t>
      </w:r>
    </w:p>
    <w:p>
      <w:pPr>
        <w:numPr>
          <w:ilvl w:val="0"/>
          <w:numId w:val="77"/>
        </w:numPr>
        <w:bidi w:val="1"/>
        <w:spacing w:lineRule="auto" w:line="360" w:after="100" w:before="0"/>
        <w:jc w:val="both"/>
      </w:pPr>
      <w:r>
        <w:rPr>
          <w:rFonts w:ascii="David" w:hAnsi="David" w:cs="David" w:eastAsia="David" w:hint="cs"/>
          <w:b w:val="0"/>
          <w:sz w:val="24"/>
          <w:szCs w:val="24"/>
          <w:u w:val="none"/>
          <w:rtl w:val="1"/>
          <w:lang w:bidi="he-IL"/>
        </w:rPr>
        <w:t>אשר על כן מתבקש בית המשפט הנכבד לדחות את התביעה ולחייב את התובעת בהוצאות ובשכ"ט עו"ד; ולחלופין, ליתן את הסעדים המפורטים בחלק השני לעיל.</w:t>
      </w:r>
    </w:p>
    <w:p>
      <w:pPr>
        <w:keepNext w:val="1"/>
        <w:keepLines w:val="1"/>
        <w:bidi w:val="1"/>
        <w:spacing w:lineRule="auto" w:line="360" w:after="60" w:before="120"/>
        <w:jc w:val="left"/>
      </w:pPr>
      <w:r>
        <w:rPr>
          <w:rFonts w:ascii="David" w:hAnsi="David" w:cs="David" w:eastAsia="David" w:hint="cs"/>
          <w:b/>
          <w:bCs w:val="1"/>
          <w:sz w:val="24"/>
          <w:szCs w:val="24"/>
          <w:u w:val="single"/>
          <w:rtl w:val="1"/>
          <w:lang w:bidi="he-IL"/>
        </w:rPr>
        <w:t>רשימת נספחים</w:t>
      </w:r>
    </w:p>
    <w:p>
      <w:pPr>
        <w:keepNext w:val="1"/>
        <w:keepLines w:val="1"/>
        <w:bidi w:val="1"/>
        <w:spacing w:lineRule="auto" w:line="240" w:after="80" w:before="0"/>
        <w:ind w:left="510" w:hanging="510"/>
        <w:jc w:val="both"/>
      </w:pPr>
      <w:r>
        <w:rPr>
          <w:rFonts w:ascii="David" w:hAnsi="David" w:cs="David" w:eastAsia="David" w:hint="cs"/>
          <w:b w:val="0"/>
          <w:sz w:val="24"/>
          <w:szCs w:val="24"/>
          <w:u w:val="none"/>
          <w:rtl w:val="1"/>
          <w:lang w:bidi="he-IL"/>
        </w:rPr>
        <w:t>נספח א': מכתב המחלקה לשירותים חברתיים, עיריית פתח תקווה, יולי 2026.</w:t>
      </w:r>
    </w:p>
    <w:p>
      <w:pPr>
        <w:keepNext w:val="1"/>
        <w:keepLines w:val="1"/>
        <w:bidi w:val="1"/>
        <w:spacing w:lineRule="auto" w:line="240" w:after="80" w:before="0"/>
        <w:ind w:left="510" w:hanging="510"/>
        <w:jc w:val="both"/>
      </w:pPr>
      <w:r>
        <w:rPr>
          <w:rFonts w:ascii="David" w:hAnsi="David" w:cs="David" w:eastAsia="David" w:hint="cs"/>
          <w:b w:val="0"/>
          <w:sz w:val="24"/>
          <w:szCs w:val="24"/>
          <w:u w:val="none"/>
          <w:rtl w:val="1"/>
          <w:lang w:bidi="he-IL"/>
        </w:rPr>
        <w:t>נספח ב': אישור המוסד לביטוח לאומי בדבר נכות בשיעור 100%.</w:t>
      </w:r>
    </w:p>
    <w:p>
      <w:pPr>
        <w:keepNext w:val="1"/>
        <w:keepLines w:val="1"/>
        <w:bidi w:val="1"/>
        <w:spacing w:lineRule="auto" w:line="240" w:after="80" w:before="0"/>
        <w:ind w:left="510" w:hanging="510"/>
        <w:jc w:val="both"/>
      </w:pPr>
      <w:r>
        <w:rPr>
          <w:rFonts w:ascii="David" w:hAnsi="David" w:cs="David" w:eastAsia="David" w:hint="cs"/>
          <w:b w:val="0"/>
          <w:sz w:val="24"/>
          <w:szCs w:val="24"/>
          <w:u w:val="none"/>
          <w:rtl w:val="1"/>
          <w:lang w:bidi="he-IL"/>
        </w:rPr>
        <w:t>נספח ג': אישור המחלקה לשירותים חברתיים בדבר הכרה בנתבעת כנתמכת.</w:t>
      </w:r>
    </w:p>
    <w:p>
      <w:pPr>
        <w:keepNext w:val="1"/>
        <w:keepLines w:val="1"/>
        <w:bidi w:val="1"/>
        <w:spacing w:lineRule="auto" w:line="240" w:after="80" w:before="0"/>
        <w:ind w:left="510" w:hanging="510"/>
        <w:jc w:val="both"/>
      </w:pPr>
      <w:r>
        <w:rPr>
          <w:rFonts w:ascii="David" w:hAnsi="David" w:cs="David" w:eastAsia="David" w:hint="cs"/>
          <w:b w:val="0"/>
          <w:sz w:val="24"/>
          <w:szCs w:val="24"/>
          <w:u w:val="none"/>
          <w:rtl w:val="1"/>
          <w:lang w:bidi="he-IL"/>
        </w:rPr>
        <w:t>נספח ד': ייפוי כוח מטעם הנתבעת, לפי תקנה 9(ה).</w:t>
      </w:r>
    </w:p>
    <w:p>
      <w:pPr>
        <w:bidi w:val="1"/>
        <w:spacing w:lineRule="auto" w:line="240" w:after="0" w:before="0"/>
        <w:jc w:val="left"/>
      </w:pPr>
      <w:r>
        <w:rPr>
          <w:rFonts w:ascii="David" w:hAnsi="David" w:cs="David" w:eastAsia="David" w:hint="cs"/>
          <w:b/>
          <w:bCs w:val="1"/>
          <w:sz w:val="24"/>
          <w:szCs w:val="24"/>
          <w:u w:val="none"/>
          <w:rtl w:val="1"/>
          <w:lang w:bidi="he-IL"/>
        </w:rPr>
        <w:t>תאריך: ______________</w:t>
      </w:r>
    </w:p>
    <w:p>
      <w:pPr>
        <w:bidi w:val="1"/>
        <w:spacing w:lineRule="auto" w:line="240" w:after="0" w:before="0"/>
        <w:jc w:val="right"/>
      </w:pPr>
      <w:r>
        <w:rPr>
          <w:rFonts w:ascii="David" w:hAnsi="David" w:cs="David" w:eastAsia="David" w:hint="cs"/>
          <w:b w:val="0"/>
          <w:sz w:val="24"/>
          <w:szCs w:val="24"/>
          <w:u w:val="none"/>
          <w:rtl w:val="1"/>
          <w:lang w:bidi="he-IL"/>
        </w:rPr>
        <w:t>_____________________</w:t>
      </w:r>
    </w:p>
    <w:p>
      <w:pPr>
        <w:bidi w:val="1"/>
        <w:spacing w:lineRule="auto" w:line="240" w:after="0" w:before="0"/>
        <w:jc w:val="right"/>
      </w:pPr>
      <w:r>
        <w:rPr>
          <w:rFonts w:ascii="David" w:hAnsi="David" w:cs="David" w:eastAsia="David" w:hint="cs"/>
          <w:b/>
          <w:bCs w:val="1"/>
          <w:sz w:val="24"/>
          <w:szCs w:val="24"/>
          <w:u w:val="none"/>
          <w:rtl w:val="1"/>
          <w:lang w:bidi="he-IL"/>
        </w:rPr>
        <w:t>______________, עו"ד</w:t>
      </w:r>
    </w:p>
    <w:p>
      <w:pPr>
        <w:bidi w:val="1"/>
        <w:spacing w:lineRule="auto" w:line="240" w:after="0" w:before="0"/>
        <w:jc w:val="right"/>
      </w:pPr>
      <w:r>
        <w:rPr>
          <w:rFonts w:ascii="David" w:hAnsi="David" w:cs="David" w:eastAsia="David" w:hint="cs"/>
          <w:b/>
          <w:bCs w:val="1"/>
          <w:sz w:val="24"/>
          <w:szCs w:val="24"/>
          <w:u w:val="none"/>
          <w:rtl w:val="1"/>
          <w:lang w:bidi="he-IL"/>
        </w:rPr>
        <w:t>ב"כ הנתבעת</w:t>
      </w:r>
    </w:p>
    <w:sectPr w:rsidR="00FC693F" w:rsidRPr="0006063C" w:rsidSect="00034616">
      <w:footerReference w:type="default" r:id="rId9"/>
      <w:pgSz w:w="11906" w:h="16838"/>
      <w:pgMar w:top="850" w:right="1417" w:bottom="646" w:left="1417" w:header="720" w:footer="34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avid">
    <w:charset w:val="B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David" w:hAnsi="David" w:cs="David" w:eastAsia="David" w:hint="cs"/>
        <w:b w:val="0"/>
        <w:sz w:val="22"/>
        <w:szCs w:val="22"/>
        <w:u w:val="none"/>
        <w:rtl w:val="1"/>
        <w:lang w:bidi="he-IL"/>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7">
    <w:multiLevelType w:val="singleLevel"/>
    <w:lvl w:ilvl="0">
      <w:start w:val="1"/>
      <w:numFmt w:val="decimal"/>
      <w:suff w:val="tab"/>
      <w:lvlText w:val="%1."/>
      <w:lvlJc w:val="right"/>
      <w:pPr>
        <w:ind w:left="510" w:hanging="510"/>
      </w:pPr>
      <w:rPr>
        <w:rFonts w:cs="David" w:hint="c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bidi w:val="1"/>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eastAsia="David" w:hint="cs"/>
      <w:sz w:val="24"/>
      <w:szCs w:val="24"/>
      <w:rtl w:val="1"/>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כתב הגנה</dc:title>
  <dc:subject/>
  <dc:creator/>
  <cp:keywords/>
  <dc:description/>
  <cp:lastModifiedBy/>
  <cp:revision>1</cp:revision>
  <dcterms:created xsi:type="dcterms:W3CDTF">2026-09-01T12:04:24Z</dcterms:created>
  <dcterms:modified xsi:type="dcterms:W3CDTF">2026-09-01T12:04:24Z</dcterms:modified>
  <cp:category/>
</cp:coreProperties>
</file>