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60" w:before="160" w:line="360" w:lineRule="auto"/>
        <w:jc w:val="center"/>
      </w:pPr>
      <w:r>
        <w:rPr>
          <w:rFonts w:ascii="David" w:cs="David" w:eastAsia="David" w:hAnsi="David"/>
          <w:b/>
          <w:bCs/>
          <w:sz w:val="32"/>
          <w:szCs w:val="32"/>
          <w:u w:val="single"/>
          <w:rtl/>
        </w:rPr>
        <w:t xml:space="preserve">הנחיות מילוי – בקשה להארכת צו הגנה</w:t>
      </w:r>
    </w:p>
    <w:p>
      <w:pPr>
        <w:bidi/>
        <w:spacing w:after="200" w:before="0" w:line="360" w:lineRule="auto"/>
        <w:jc w:val="start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מסמך זה נועד לסייע במילוי החבילה. הוא אינו מוגש לבית המשפט — מחק אותו לפני ההגשה.</w:t>
      </w:r>
    </w:p>
    <w:p>
      <w:pPr>
        <w:bidi/>
        <w:keepNext/>
        <w:spacing w:after="120" w:before="240" w:line="360" w:lineRule="auto"/>
        <w:jc w:val="start"/>
      </w:pPr>
      <w:r>
        <w:rPr>
          <w:rFonts w:ascii="David" w:cs="David" w:eastAsia="David" w:hAnsi="David"/>
          <w:b/>
          <w:bCs/>
          <w:sz w:val="24"/>
          <w:szCs w:val="24"/>
          <w:u w:val="single"/>
          <w:rtl/>
        </w:rPr>
        <w:t xml:space="preserve">טבלת משתנים – מלא פעם אחת, העתק לכל המקומות</w:t>
      </w:r>
    </w:p>
    <w:tbl>
      <w:tblPr>
        <w:bidiVisual/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36"/>
        <w:gridCol w:w="3236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center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הפרט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center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היכן מופיע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center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הערה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שם המבקשת ות.ז.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הבקשה + התצהיר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זהה בשני המסמכים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שם המשיב ות.ז.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הבקשה + התצהיר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זהה בשני המסמכים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כתובת המבקשת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הבקשה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מבססת סמכות מקומית בחיפה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פרטי ב"כ (שם, מ.ר., כתובת, טל', דוא"ל)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הבקשה + אישור עוה"ד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זהה בשני המסמכים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מספר התיק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הבקשה + התצהיר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תיק צו ההגנה הקיים – לא נפתח תיק חדש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שמות הקטינים ושנות לידתם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הבקשה סע' 1 + התצהיר סע' 2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מספרם בלבד מופיע בבקשה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תנאי צו ההגנה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הבקשה סע' 2 + התצהיר סע' 3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העתק מלשון הצו עצמו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התשתית שבגינה ניתן הצו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הבקשה סע' 2 + התצהיר סע' 4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בתמצית בלבד – שורה אחת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אירועים מאז מתן הצו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הבקשה סע' 3 + התצהיר סע' 6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לב הבקשה – ראה אזהרה להלן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מועד תחילת המפגשים במרכז הקשר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התצהיר סע' 9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בבקשה המקוצרת מופיעים המועדים בלבד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שישה מועדי ההיעדרות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הבקשה סע' 5 + התצהיר סע' 9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תאריכים מדויקים</w:t>
            </w:r>
          </w:p>
        </w:tc>
      </w:tr>
    </w:tbl>
    <w:p>
      <w:pPr>
        <w:bidi/>
        <w:keepNext/>
        <w:spacing w:after="120" w:before="240" w:line="360" w:lineRule="auto"/>
        <w:jc w:val="start"/>
      </w:pPr>
      <w:r>
        <w:rPr>
          <w:rFonts w:ascii="David" w:cs="David" w:eastAsia="David" w:hAnsi="David"/>
          <w:b/>
          <w:bCs/>
          <w:sz w:val="24"/>
          <w:szCs w:val="24"/>
          <w:u w:val="single"/>
          <w:rtl/>
        </w:rPr>
        <w:t xml:space="preserve">אזהרות מהותיות – חובה לבדוק לפני הגשה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מגדר המבקשת: הנוסח כתוב בלשון נקבה ("המבקשת", "מצהירה"). אם המבקש הוא גבר — יש לבצע החלפה גורפת בשני המסמכים.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תוקף הצו והתקופה הכוללת: מיום 11.3.2026 ועד 16.9.2026 חלפו למעלה משישה חודשים. משמע שהצו כבר הוארך בעבר, או שניתן מלכתחילה מנימוקים מיוחדים. יש לוודא בתיק את החלטות ההארכה הקודמות, ולציין אותן בסעיף 2 לבקשה. ההארכה המבוקשת (עד 16.12.2026) מצויה בתוך תקרת השנה שבסעיף 5 לחוק, אך מחייבת נימוקים מיוחדים – והם פורטו בסעיף 8 לבקשה.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סעיף 5 לחוק: יש לאמת את נוסח הסעיף המדויק במאגר מעודכן בטרם הגשה, ולהתאים את סעיף 7 לבקשה ככל שנדרש.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הליך טיפולי: סעיפים 3 ו-8 לבקשה וסעיף 5 לתצהיר טוענים כי המשיב לא נקט בהליך טיפולי. אם המשיב כן משתתף בהליך – יש לתקן את הטענה, שאם לא כן היא תיסתר בדיון.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סעיף 3 לבקשה וסעיף 6 לתצהיר הוא לב הבקשה. בקשת הארכה הנסמכת על חשש כללי בלבד, בלא אירועים קונקרטיים מן התקופה האחרונה, חלשה משמעותית. יש למלא כל אירוע, מועד ואסמכתה שקיימים.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אסמכתאות פסיקה: לא שולבו בנוסח, כדי שלא ייכללו הפניות בלתי מאומתות. יש להוסיף פסיקה עדכנית בעניין הארכת צו הגנה מן המאגרים לפני ההגשה.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מועד ההגשה: יש להגיש בהקדם ולוודא קביעת דיון לפני 16.9.2026. פקיעת הצו בטרם הכרעה מותירה את המבקשת ללא הגנה בפרק הזמן שבין הפקיעה לדיון.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היקף: הבקשה קוצרה לשני עמודים. הרחבה עובדתית בסעיפים 3 ו-5 תארוך אותה – מומלץ להעביר פירוט נרחב לתצהיר, שהיקפו מותר עד שלושה עמודים.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סעד ג' (הסדרת המפגשים ודיווח מרכז הקשר) נוגע לזמני השהות ולא לצו ההגנה עצמו. אם זמני השהות מתנהלים בתיק נפרד – יש לשקול הגשת בקשה נפרדת באותו תיק, או לציין בפתח הבקשה כי מבוקש לדון בשני העניינים במאוחד.</w:t>
      </w:r>
    </w:p>
    <w:p>
      <w:pPr>
        <w:bidi/>
        <w:keepNext/>
        <w:spacing w:after="120" w:before="240" w:line="360" w:lineRule="auto"/>
        <w:jc w:val="start"/>
      </w:pPr>
      <w:r>
        <w:rPr>
          <w:rFonts w:ascii="David" w:cs="David" w:eastAsia="David" w:hAnsi="David"/>
          <w:b/>
          <w:bCs/>
          <w:sz w:val="24"/>
          <w:szCs w:val="24"/>
          <w:u w:val="single"/>
          <w:rtl/>
        </w:rPr>
        <w:t xml:space="preserve">צ'ק-ליסט לפני הגשה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כל השדות המסומנים בקו תחתון מולאו, והשמות ומספרי הת"ז זהים בשני המסמכים.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צו ההגנה מיום 11.3.2026 צורף כנספח א'.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אישור מרכז הקשר "פל"א" בדבר המפגשים שהתקיימו ואלה שבוטלו התקבל וצורף כנספח ג'.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העתקי הודעות הביטול של המשיב (הודעות טקסט/וואטסאפ/דוא"ל) הופקו וצורפו כנספח ד'.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התצהיר נחתם בפני עורך דין, לאחר אזהרה כדין; המצהירה חתמה תחילה ואחריה עורך הדין.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צורף ייפוי כוח לבא-כוח.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נבדק אם נדרשת אגרה בגין הבקשה, ומספר העותקים הנדרש להגשה.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נבדק אם קיים תסקיר עו"ס או דו"ח רווחה עדכני שניתן לצרף או לבקש את הגשתו.</w:t>
      </w:r>
    </w:p>
    <w:sectPr>
      <w:footerReference w:type="default" r:id="rId7"/>
      <w:pgSz w:w="11906" w:h="16838" w:orient="portrait"/>
      <w:pgMar w:top="850" w:right="1417" w:bottom="646" w:left="1417" w:header="454" w:footer="34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David" w:cs="David" w:eastAsia="David" w:hAnsi="David"/>
        <w:b w:val="false"/>
        <w:bCs w:val="false"/>
        <w:sz w:val="18"/>
        <w:szCs w:val="18"/>
        <w:rtl/>
      </w:rPr>
      <w:t xml:space="preserve">- </w:t>
    </w:r>
    <w:r>
      <w:rPr>
        <w:rFonts w:ascii="David" w:cs="David" w:eastAsia="David" w:hAnsi="David"/>
        <w:sz w:val="18"/>
        <w:szCs w:val="18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David" w:cs="David" w:eastAsia="David" w:hAnsi="David"/>
        <w:b w:val="false"/>
        <w:bCs w:val="false"/>
        <w:sz w:val="18"/>
        <w:szCs w:val="18"/>
        <w:rtl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suff w:val="tab"/>
      <w:lvlText w:val="%1."/>
      <w:lvlJc w:val="start"/>
      <w:pPr>
        <w:ind w:left="47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בקשה לקביעת גיל</dc:title>
  <dc:creator>Legal DOCX</dc:creator>
  <cp:lastModifiedBy>Un-named</cp:lastModifiedBy>
  <cp:revision>1</cp:revision>
  <dcterms:created xsi:type="dcterms:W3CDTF">2026-08-18T11:41:14.764Z</dcterms:created>
  <dcterms:modified xsi:type="dcterms:W3CDTF">2026-08-18T11:41:14.764Z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